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64A5A6CB" w:rsidR="007C7A26" w:rsidRPr="00AF1E09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AF1E09">
        <w:rPr>
          <w:rFonts w:ascii="Tahoma" w:hAnsi="Tahoma" w:cs="Tahoma"/>
          <w:sz w:val="22"/>
          <w:szCs w:val="22"/>
        </w:rPr>
        <w:t xml:space="preserve">Datum: </w:t>
      </w:r>
      <w:r w:rsidR="00783479" w:rsidRPr="00AF1E09">
        <w:rPr>
          <w:rFonts w:ascii="Tahoma" w:hAnsi="Tahoma" w:cs="Tahoma"/>
          <w:sz w:val="22"/>
          <w:szCs w:val="22"/>
        </w:rPr>
        <w:t>18.04.2023</w:t>
      </w:r>
    </w:p>
    <w:p w14:paraId="62542F66" w14:textId="77777777" w:rsidR="001B0077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AADA68E" w14:textId="77777777" w:rsidR="009457B1" w:rsidRPr="00AF1E09" w:rsidRDefault="009457B1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66FE6456" w:rsidR="001B0077" w:rsidRPr="00AF1E0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AF1E09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B28F9" w:rsidRPr="00AF1E09">
        <w:rPr>
          <w:rFonts w:ascii="Tahoma" w:hAnsi="Tahoma" w:cs="Tahoma"/>
          <w:b/>
          <w:color w:val="000000"/>
          <w:sz w:val="22"/>
          <w:szCs w:val="22"/>
        </w:rPr>
        <w:t>vprašanje</w:t>
      </w:r>
      <w:r w:rsidRPr="00AF1E09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AF1E09" w:rsidRPr="00AF1E09">
        <w:rPr>
          <w:rFonts w:ascii="Tahoma" w:hAnsi="Tahoma" w:cs="Tahoma"/>
          <w:b/>
          <w:color w:val="000000"/>
          <w:sz w:val="22"/>
          <w:szCs w:val="22"/>
        </w:rPr>
        <w:t>7</w:t>
      </w:r>
      <w:r w:rsidRPr="00AF1E09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0DC39DEB" w14:textId="77777777" w:rsidR="001B0077" w:rsidRPr="00AF1E0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5899E121" w:rsidR="001B0077" w:rsidRPr="00D63760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D63760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4B28F9" w:rsidRPr="00D63760">
        <w:rPr>
          <w:rFonts w:ascii="Tahoma" w:hAnsi="Tahoma" w:cs="Tahoma"/>
          <w:noProof/>
          <w:color w:val="000000" w:themeColor="text1"/>
          <w:sz w:val="22"/>
          <w:szCs w:val="22"/>
        </w:rPr>
        <w:t>ga</w:t>
      </w:r>
      <w:r w:rsidRPr="00D63760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 član občinskega sveta g. </w:t>
      </w:r>
      <w:r w:rsidR="00AF1E09" w:rsidRPr="00D63760">
        <w:rPr>
          <w:rFonts w:ascii="Tahoma" w:hAnsi="Tahoma" w:cs="Tahoma"/>
          <w:noProof/>
          <w:color w:val="000000" w:themeColor="text1"/>
          <w:sz w:val="22"/>
          <w:szCs w:val="22"/>
        </w:rPr>
        <w:t>Boštjan Noč</w:t>
      </w:r>
      <w:r w:rsidRPr="00D63760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="00BF0270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zapornic v Žirovnici in </w:t>
      </w:r>
      <w:r w:rsidR="00D63760" w:rsidRPr="00D63760">
        <w:rPr>
          <w:rFonts w:ascii="Tahoma" w:hAnsi="Tahoma" w:cs="Tahoma"/>
          <w:noProof/>
          <w:color w:val="000000" w:themeColor="text1"/>
          <w:sz w:val="22"/>
          <w:szCs w:val="22"/>
        </w:rPr>
        <w:t>parkirnih mest na železniški postaji v Žirovnici</w:t>
      </w:r>
      <w:r w:rsidR="00783479" w:rsidRPr="00D63760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0DA83BE1" w14:textId="0A0DD220" w:rsidR="001B0077" w:rsidRPr="00AF1E09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  <w:highlight w:val="yellow"/>
        </w:rPr>
      </w:pPr>
    </w:p>
    <w:p w14:paraId="4AB07E85" w14:textId="6F279BC0" w:rsidR="009E57AC" w:rsidRPr="00EF0396" w:rsidRDefault="00EF0396" w:rsidP="00EF039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</w:pPr>
      <w:r w:rsidRPr="00EF0396"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t>Z</w:t>
      </w:r>
      <w:r w:rsidR="009E57AC" w:rsidRPr="00EF0396"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t>apornice čez železniško progo</w:t>
      </w:r>
    </w:p>
    <w:p w14:paraId="2BC7DD7F" w14:textId="518935FA" w:rsidR="00BF0270" w:rsidRPr="009E57AC" w:rsidRDefault="009E57AC" w:rsidP="009E5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O</w:t>
      </w:r>
      <w:r w:rsidR="00C80E2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bčinska uprava</w:t>
      </w:r>
      <w:r w:rsidR="00BF0270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EF0396">
        <w:rPr>
          <w:rFonts w:ascii="Tahoma" w:hAnsi="Tahoma" w:cs="Tahoma"/>
          <w:noProof/>
          <w:color w:val="000000" w:themeColor="text1"/>
          <w:sz w:val="22"/>
          <w:szCs w:val="22"/>
        </w:rPr>
        <w:t>si je dolgo</w:t>
      </w:r>
      <w:r w:rsidR="00BF0270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časa prizadeva</w:t>
      </w:r>
      <w:r w:rsidR="00384EBE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la</w:t>
      </w:r>
      <w:r w:rsidR="009567C6">
        <w:rPr>
          <w:rFonts w:ascii="Tahoma" w:hAnsi="Tahoma" w:cs="Tahoma"/>
          <w:noProof/>
          <w:color w:val="000000" w:themeColor="text1"/>
          <w:sz w:val="22"/>
          <w:szCs w:val="22"/>
        </w:rPr>
        <w:t>, da bi DRSI in SŽ</w:t>
      </w:r>
      <w:r w:rsidR="00C80E2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uredi</w:t>
      </w:r>
      <w:r w:rsidR="009567C6">
        <w:rPr>
          <w:rFonts w:ascii="Tahoma" w:hAnsi="Tahoma" w:cs="Tahoma"/>
          <w:noProof/>
          <w:color w:val="000000" w:themeColor="text1"/>
          <w:sz w:val="22"/>
          <w:szCs w:val="22"/>
        </w:rPr>
        <w:t>l</w:t>
      </w:r>
      <w:r w:rsidR="00C80E2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i var</w:t>
      </w:r>
      <w:r w:rsidR="009567C6">
        <w:rPr>
          <w:rFonts w:ascii="Tahoma" w:hAnsi="Tahoma" w:cs="Tahoma"/>
          <w:noProof/>
          <w:color w:val="000000" w:themeColor="text1"/>
          <w:sz w:val="22"/>
          <w:szCs w:val="22"/>
        </w:rPr>
        <w:t>en</w:t>
      </w:r>
      <w:r w:rsidR="00C80E2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prehod čez železniško progo</w:t>
      </w:r>
      <w:r w:rsidR="00384EBE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. </w:t>
      </w:r>
      <w:r w:rsidR="00956FD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V</w:t>
      </w:r>
      <w:r w:rsidR="00C80E2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BF0270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sklopu projekta gradnje drugega tira </w:t>
      </w:r>
      <w:r w:rsidR="00956FD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je </w:t>
      </w:r>
      <w:r w:rsidR="00384EBE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poleg </w:t>
      </w:r>
      <w:r w:rsidR="00956FD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gradnj</w:t>
      </w:r>
      <w:r w:rsidR="00384EBE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e</w:t>
      </w:r>
      <w:r w:rsidR="00956FD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novega petkrakega rondoja na regionalni cesti R2 Javornik – Žirovnica </w:t>
      </w:r>
      <w:r w:rsidR="00384EBE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predvidena tudi </w:t>
      </w:r>
      <w:r w:rsidR="00BF0270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ukinitev nivojsk</w:t>
      </w:r>
      <w:r w:rsidR="00C80E2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ega</w:t>
      </w:r>
      <w:r w:rsidR="00BF0270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prehod</w:t>
      </w:r>
      <w:r w:rsidR="00C80E2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="00BF0270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preko železniške proge na regionalni cesti R3 – 638 Žirovnica </w:t>
      </w:r>
      <w:r w:rsidR="00C80E2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–</w:t>
      </w:r>
      <w:r w:rsidR="00BF0270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Begunje</w:t>
      </w:r>
      <w:r w:rsidRPr="009E57AC">
        <w:rPr>
          <w:rFonts w:ascii="Tahoma" w:hAnsi="Tahoma" w:cs="Tahoma"/>
          <w:noProof/>
          <w:color w:val="000000" w:themeColor="text1"/>
          <w:sz w:val="22"/>
          <w:szCs w:val="22"/>
        </w:rPr>
        <w:t>, načrtovan</w:t>
      </w:r>
      <w:r w:rsidR="00384EBE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je </w:t>
      </w:r>
      <w:r w:rsidR="00384EBE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cestni podvoz pod načrtovano dvotirno progo. 13. aprila 2022 je imela občinska uprava sestanek in terenski ogled s predstavniki DRI upravljanje investicij, d.o.o., s sektorja za prostorsko in tehnično pripravo projektov, predstavniki podjetja ELEA iC projektiranje in svetovanje d.o.o. in predstavniki PNZ svetovanje projektiranje d.o.o., </w:t>
      </w:r>
      <w:r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vodijo projekt, </w:t>
      </w:r>
      <w:r w:rsidR="00EF0396">
        <w:rPr>
          <w:rFonts w:ascii="Tahoma" w:hAnsi="Tahoma" w:cs="Tahoma"/>
          <w:noProof/>
          <w:color w:val="000000" w:themeColor="text1"/>
          <w:sz w:val="22"/>
          <w:szCs w:val="22"/>
        </w:rPr>
        <w:t>z namenom poiskati</w:t>
      </w:r>
      <w:r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384EBE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optimizirane rešitve načrtovane dvotirne železniške proge s spremljajočimi ureditvami.</w:t>
      </w:r>
    </w:p>
    <w:p w14:paraId="6447242E" w14:textId="01F34338" w:rsidR="009E57AC" w:rsidRDefault="009E57AC" w:rsidP="009457B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31293ACB" w14:textId="14DD4F00" w:rsidR="009E57AC" w:rsidRDefault="00EF0396" w:rsidP="009E5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K</w:t>
      </w:r>
      <w:r w:rsidR="009E57AC">
        <w:rPr>
          <w:rFonts w:ascii="Tahoma" w:hAnsi="Tahoma" w:cs="Tahoma"/>
          <w:noProof/>
          <w:color w:val="000000" w:themeColor="text1"/>
          <w:sz w:val="22"/>
          <w:szCs w:val="22"/>
        </w:rPr>
        <w:t>rožišč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e</w:t>
      </w:r>
      <w:r w:rsid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in uredit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e</w:t>
      </w:r>
      <w:r w:rsid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v prehoda čez železniško progo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 xml:space="preserve">sta prikazana na sliki 1 (izsek </w:t>
      </w:r>
      <w:r w:rsid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iz </w:t>
      </w:r>
      <w:r w:rsidR="009E57AC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državnega prostorskega načrta in investicijske zasnove za nadgradnjo železniške proge</w:t>
      </w:r>
      <w:r w:rsid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9E57AC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Ljubljana–Kranj–Jesenice–državna meja v obstoječem koridorju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)</w:t>
      </w:r>
      <w:r w:rsidR="009E57AC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44759EA2" w14:textId="77777777" w:rsidR="00EF0396" w:rsidRDefault="00EF0396" w:rsidP="009E5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26F97542" w14:textId="3DDED08D" w:rsidR="00C80E24" w:rsidRDefault="00EF0396" w:rsidP="009457B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Slika 1:</w:t>
      </w:r>
    </w:p>
    <w:p w14:paraId="7E79D612" w14:textId="408486E7" w:rsidR="00BF0270" w:rsidRDefault="00C80E24" w:rsidP="009457B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7381E57" wp14:editId="43C38B01">
            <wp:extent cx="3639768" cy="3733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4788" cy="37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E2227" w14:textId="71C55697" w:rsidR="009E57AC" w:rsidRPr="00EF0396" w:rsidRDefault="00EF0396" w:rsidP="00EF039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lastRenderedPageBreak/>
        <w:t>O</w:t>
      </w:r>
      <w:r w:rsidR="009E57AC" w:rsidRPr="00EF0396"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t xml:space="preserve">bmočje železniške postaje in </w:t>
      </w:r>
      <w:r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t xml:space="preserve">umestitev </w:t>
      </w:r>
      <w:r w:rsidR="009E57AC" w:rsidRPr="00EF0396"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t>parkirn</w:t>
      </w:r>
      <w:r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t>ih</w:t>
      </w:r>
      <w:r w:rsidR="009E57AC" w:rsidRPr="00EF0396"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t xml:space="preserve"> mest</w:t>
      </w:r>
    </w:p>
    <w:p w14:paraId="499C3B5A" w14:textId="79B6DE13" w:rsidR="009567C6" w:rsidRDefault="009E57AC" w:rsidP="009E5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V</w:t>
      </w:r>
      <w:r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9D20E1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sklopu </w:t>
      </w:r>
      <w:r w:rsidR="00C80E24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istega </w:t>
      </w:r>
      <w:r w:rsidR="009D20E1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projekta gradnje drugega tira </w:t>
      </w:r>
      <w:r w:rsidR="00EF039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se </w:t>
      </w:r>
      <w:r w:rsidRPr="009E57AC">
        <w:rPr>
          <w:rFonts w:ascii="Tahoma" w:hAnsi="Tahoma" w:cs="Tahoma"/>
          <w:noProof/>
          <w:color w:val="000000" w:themeColor="text1"/>
          <w:sz w:val="22"/>
          <w:szCs w:val="22"/>
        </w:rPr>
        <w:t>n</w:t>
      </w:r>
      <w:r w:rsidR="009457B1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="00CB0E36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območju </w:t>
      </w:r>
      <w:r w:rsidR="009457B1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železniške </w:t>
      </w:r>
      <w:r w:rsidR="00CB0E36" w:rsidRPr="009E57A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postaje načrtuje </w:t>
      </w:r>
      <w:r w:rsidR="00EF039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tudi </w:t>
      </w:r>
      <w:r w:rsidR="00CB0E36" w:rsidRPr="009E57AC">
        <w:rPr>
          <w:rFonts w:ascii="Tahoma" w:hAnsi="Tahoma" w:cs="Tahoma"/>
          <w:noProof/>
          <w:color w:val="000000" w:themeColor="text1"/>
          <w:sz w:val="22"/>
          <w:szCs w:val="22"/>
        </w:rPr>
        <w:t>več parkirnih mest, ureditev hodnika za pešce in izvennivojski dostop na bodoči otočni peron dvotirne gorenjske proge</w:t>
      </w:r>
      <w:r w:rsidR="00EF0396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  <w:r w:rsidR="009567C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Moramo poudariti</w:t>
      </w:r>
      <w:r w:rsidR="008D55A6">
        <w:rPr>
          <w:rFonts w:ascii="Tahoma" w:hAnsi="Tahoma" w:cs="Tahoma"/>
          <w:noProof/>
          <w:color w:val="000000" w:themeColor="text1"/>
          <w:sz w:val="22"/>
          <w:szCs w:val="22"/>
        </w:rPr>
        <w:t>,</w:t>
      </w:r>
      <w:r w:rsidR="009567C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da je to primarna naloga izvajalca železniškega potniškega prometa.</w:t>
      </w:r>
    </w:p>
    <w:p w14:paraId="6578DA2C" w14:textId="20DC1D5A" w:rsidR="00967EBF" w:rsidRDefault="008D55A6" w:rsidP="009E5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K</w:t>
      </w:r>
      <w:r w:rsidR="009567C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ot izhaja iz zaključkov delavnic v zvezi priprave CPS v občini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je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r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 xml:space="preserve">ezervna varijanta </w:t>
      </w:r>
      <w:r w:rsidR="009567C6">
        <w:rPr>
          <w:rFonts w:ascii="Tahoma" w:hAnsi="Tahoma" w:cs="Tahoma"/>
          <w:noProof/>
          <w:color w:val="000000" w:themeColor="text1"/>
          <w:sz w:val="22"/>
          <w:szCs w:val="22"/>
        </w:rPr>
        <w:t>tudi podzemna garaža pod tenis igriščem pri TVD Partizan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-u</w:t>
      </w:r>
      <w:r w:rsidR="009567C6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, kar bi bil strošek občine. </w:t>
      </w:r>
    </w:p>
    <w:p w14:paraId="70FBB623" w14:textId="77777777" w:rsidR="00EF0396" w:rsidRDefault="00EF0396" w:rsidP="009E5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17169CD7" w14:textId="3D44211B" w:rsidR="00EF0396" w:rsidRDefault="00EF0396" w:rsidP="00EF039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Umestitev parkirnih mest na območj</w:t>
      </w:r>
      <w:r w:rsidR="008D55A6">
        <w:rPr>
          <w:rFonts w:ascii="Tahoma" w:hAnsi="Tahoma" w:cs="Tahoma"/>
          <w:noProof/>
          <w:color w:val="000000" w:themeColor="text1"/>
          <w:sz w:val="22"/>
          <w:szCs w:val="22"/>
        </w:rPr>
        <w:t>u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železniške postaje je prikazana na sliki 2 (izsek iz </w:t>
      </w:r>
      <w:r w:rsidRPr="009E57AC">
        <w:rPr>
          <w:rFonts w:ascii="Tahoma" w:hAnsi="Tahoma" w:cs="Tahoma"/>
          <w:noProof/>
          <w:color w:val="000000" w:themeColor="text1"/>
          <w:sz w:val="22"/>
          <w:szCs w:val="22"/>
        </w:rPr>
        <w:t>državnega prostorskega načrta in investicijske zasnove za nadgradnjo železniške proge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Pr="009E57AC">
        <w:rPr>
          <w:rFonts w:ascii="Tahoma" w:hAnsi="Tahoma" w:cs="Tahoma"/>
          <w:noProof/>
          <w:color w:val="000000" w:themeColor="text1"/>
          <w:sz w:val="22"/>
          <w:szCs w:val="22"/>
        </w:rPr>
        <w:t>Ljubljana–Kranj–Jesenice–državna meja v obstoječem koridorju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).</w:t>
      </w:r>
    </w:p>
    <w:p w14:paraId="77ABDBA7" w14:textId="77777777" w:rsidR="00EF0396" w:rsidRPr="009E57AC" w:rsidRDefault="00EF0396" w:rsidP="009E5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3E22EE79" w14:textId="4BA2DDAF" w:rsidR="00BF0270" w:rsidRDefault="00EF0396" w:rsidP="009457B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Slika 2:</w:t>
      </w:r>
    </w:p>
    <w:p w14:paraId="33A372DA" w14:textId="5ECD04B5" w:rsidR="00BF0270" w:rsidRPr="009457B1" w:rsidRDefault="00BF0270" w:rsidP="009457B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BDD669B" wp14:editId="799384BC">
            <wp:extent cx="6390640" cy="5038090"/>
            <wp:effectExtent l="0" t="0" r="0" b="0"/>
            <wp:docPr id="16061686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80CC8" w14:textId="56A2D9A6" w:rsidR="009457B1" w:rsidRDefault="009457B1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4A04356D" w14:textId="77777777" w:rsidR="009457B1" w:rsidRDefault="009457B1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53BAA249" w14:textId="77777777" w:rsidR="00AE7D40" w:rsidRDefault="00AE7D4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9457B1" w14:paraId="50DE7CA3" w14:textId="77777777" w:rsidTr="009457B1">
        <w:trPr>
          <w:trHeight w:val="260"/>
        </w:trPr>
        <w:tc>
          <w:tcPr>
            <w:tcW w:w="3686" w:type="dxa"/>
          </w:tcPr>
          <w:p w14:paraId="6856C504" w14:textId="76DE1A1E" w:rsidR="00967EBF" w:rsidRPr="009457B1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457B1"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19DDA4C6" w:rsidR="005D3EA9" w:rsidRPr="009457B1" w:rsidRDefault="004B28F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457B1">
              <w:rPr>
                <w:rFonts w:ascii="Tahoma" w:hAnsi="Tahoma" w:cs="Tahoma"/>
                <w:color w:val="000000"/>
                <w:sz w:val="22"/>
                <w:szCs w:val="22"/>
              </w:rPr>
              <w:t>Nina Pretnar</w:t>
            </w:r>
            <w:r w:rsidR="002D3D62" w:rsidRPr="009457B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9457B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univ.</w:t>
            </w:r>
            <w:r w:rsidR="002D3D62" w:rsidRPr="009457B1">
              <w:rPr>
                <w:rFonts w:ascii="Tahoma" w:hAnsi="Tahoma" w:cs="Tahoma"/>
                <w:color w:val="000000"/>
                <w:sz w:val="22"/>
                <w:szCs w:val="22"/>
              </w:rPr>
              <w:t>dipl.inž.g</w:t>
            </w:r>
            <w:r w:rsidRPr="009457B1">
              <w:rPr>
                <w:rFonts w:ascii="Tahoma" w:hAnsi="Tahoma" w:cs="Tahoma"/>
                <w:color w:val="000000"/>
                <w:sz w:val="22"/>
                <w:szCs w:val="22"/>
              </w:rPr>
              <w:t>eol</w:t>
            </w:r>
            <w:r w:rsidR="002D3D62" w:rsidRPr="009457B1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44" w:type="dxa"/>
          </w:tcPr>
          <w:p w14:paraId="6614321B" w14:textId="77777777" w:rsidR="00967EBF" w:rsidRPr="009457B1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9457B1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9457B1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9457B1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9457B1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457B1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9457B1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457B1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9457B1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1734FE" w14:textId="77777777" w:rsidR="003A5480" w:rsidRPr="009457B1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958C19A" w14:textId="77777777" w:rsidR="00032F75" w:rsidRPr="009457B1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14:paraId="6D080CCE" w14:textId="77777777" w:rsidR="000943E8" w:rsidRPr="009457B1" w:rsidRDefault="000943E8" w:rsidP="00E70DE2">
      <w:pPr>
        <w:rPr>
          <w:rFonts w:ascii="Tahoma" w:hAnsi="Tahoma" w:cs="Tahoma"/>
          <w:sz w:val="22"/>
          <w:szCs w:val="22"/>
        </w:rPr>
      </w:pPr>
    </w:p>
    <w:p w14:paraId="68E02F33" w14:textId="77777777" w:rsidR="00EF71A0" w:rsidRPr="00AF1E09" w:rsidRDefault="00EF71A0" w:rsidP="00E70DE2">
      <w:pPr>
        <w:rPr>
          <w:rFonts w:ascii="Tahoma" w:hAnsi="Tahoma" w:cs="Tahoma"/>
          <w:sz w:val="22"/>
          <w:szCs w:val="22"/>
          <w:highlight w:val="yellow"/>
        </w:rPr>
      </w:pPr>
    </w:p>
    <w:sectPr w:rsidR="00EF71A0" w:rsidRPr="00AF1E09" w:rsidSect="006F7078">
      <w:headerReference w:type="default" r:id="rId10"/>
      <w:headerReference w:type="first" r:id="rId11"/>
      <w:footerReference w:type="first" r:id="rId12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2CC9" w14:textId="77777777" w:rsidR="00CE0E38" w:rsidRDefault="00CE0E38" w:rsidP="00ED7D5F">
      <w:r>
        <w:separator/>
      </w:r>
    </w:p>
  </w:endnote>
  <w:endnote w:type="continuationSeparator" w:id="0">
    <w:p w14:paraId="7BB9E2BA" w14:textId="77777777" w:rsidR="00CE0E38" w:rsidRDefault="00CE0E3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8D55A6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B65F" w14:textId="77777777" w:rsidR="00CE0E38" w:rsidRDefault="00CE0E38" w:rsidP="00ED7D5F">
      <w:r>
        <w:separator/>
      </w:r>
    </w:p>
  </w:footnote>
  <w:footnote w:type="continuationSeparator" w:id="0">
    <w:p w14:paraId="2E347284" w14:textId="77777777" w:rsidR="00CE0E38" w:rsidRDefault="00CE0E3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B4B"/>
    <w:multiLevelType w:val="hybridMultilevel"/>
    <w:tmpl w:val="39A4D0A6"/>
    <w:lvl w:ilvl="0" w:tplc="BFC8E7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937834"/>
    <w:multiLevelType w:val="hybridMultilevel"/>
    <w:tmpl w:val="00E6CD64"/>
    <w:lvl w:ilvl="0" w:tplc="FA10C5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161234">
    <w:abstractNumId w:val="2"/>
  </w:num>
  <w:num w:numId="2" w16cid:durableId="1793859042">
    <w:abstractNumId w:val="7"/>
  </w:num>
  <w:num w:numId="3" w16cid:durableId="944457893">
    <w:abstractNumId w:val="1"/>
  </w:num>
  <w:num w:numId="4" w16cid:durableId="2088305359">
    <w:abstractNumId w:val="4"/>
  </w:num>
  <w:num w:numId="5" w16cid:durableId="2014717870">
    <w:abstractNumId w:val="8"/>
  </w:num>
  <w:num w:numId="6" w16cid:durableId="1296443980">
    <w:abstractNumId w:val="5"/>
  </w:num>
  <w:num w:numId="7" w16cid:durableId="2049181644">
    <w:abstractNumId w:val="6"/>
  </w:num>
  <w:num w:numId="8" w16cid:durableId="1970742054">
    <w:abstractNumId w:val="3"/>
  </w:num>
  <w:num w:numId="9" w16cid:durableId="1116366008">
    <w:abstractNumId w:val="0"/>
  </w:num>
  <w:num w:numId="10" w16cid:durableId="1284656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5F"/>
    <w:rsid w:val="00032F75"/>
    <w:rsid w:val="00081C46"/>
    <w:rsid w:val="000943E8"/>
    <w:rsid w:val="000B0A75"/>
    <w:rsid w:val="00104822"/>
    <w:rsid w:val="0010590A"/>
    <w:rsid w:val="001129D2"/>
    <w:rsid w:val="00121F33"/>
    <w:rsid w:val="00141D7A"/>
    <w:rsid w:val="001737CF"/>
    <w:rsid w:val="001819BB"/>
    <w:rsid w:val="00193976"/>
    <w:rsid w:val="001A7DEB"/>
    <w:rsid w:val="001B0077"/>
    <w:rsid w:val="001C3B6B"/>
    <w:rsid w:val="001C5C8E"/>
    <w:rsid w:val="001D2126"/>
    <w:rsid w:val="001F5D11"/>
    <w:rsid w:val="00224E11"/>
    <w:rsid w:val="00252267"/>
    <w:rsid w:val="00267501"/>
    <w:rsid w:val="00282972"/>
    <w:rsid w:val="002D3D62"/>
    <w:rsid w:val="002F5EF2"/>
    <w:rsid w:val="00302651"/>
    <w:rsid w:val="00306F0E"/>
    <w:rsid w:val="00321C61"/>
    <w:rsid w:val="00360520"/>
    <w:rsid w:val="0036506C"/>
    <w:rsid w:val="00384EBE"/>
    <w:rsid w:val="003A5480"/>
    <w:rsid w:val="003C1D60"/>
    <w:rsid w:val="003D2EF0"/>
    <w:rsid w:val="00410A90"/>
    <w:rsid w:val="00417F4D"/>
    <w:rsid w:val="0042064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F7078"/>
    <w:rsid w:val="00706560"/>
    <w:rsid w:val="00727302"/>
    <w:rsid w:val="00771E7A"/>
    <w:rsid w:val="00783479"/>
    <w:rsid w:val="007B52B8"/>
    <w:rsid w:val="007B725F"/>
    <w:rsid w:val="007C7A26"/>
    <w:rsid w:val="007D080A"/>
    <w:rsid w:val="008011C6"/>
    <w:rsid w:val="00806BA6"/>
    <w:rsid w:val="00820D62"/>
    <w:rsid w:val="0088423F"/>
    <w:rsid w:val="008926C6"/>
    <w:rsid w:val="008C4252"/>
    <w:rsid w:val="008C54A0"/>
    <w:rsid w:val="008D55A6"/>
    <w:rsid w:val="008E30EE"/>
    <w:rsid w:val="008F2289"/>
    <w:rsid w:val="009179B2"/>
    <w:rsid w:val="00937737"/>
    <w:rsid w:val="009457B1"/>
    <w:rsid w:val="009567C6"/>
    <w:rsid w:val="00956FD4"/>
    <w:rsid w:val="00965B31"/>
    <w:rsid w:val="00967EBF"/>
    <w:rsid w:val="009B6935"/>
    <w:rsid w:val="009D1E5E"/>
    <w:rsid w:val="009D20E1"/>
    <w:rsid w:val="009E57AC"/>
    <w:rsid w:val="00A20B3F"/>
    <w:rsid w:val="00A3104A"/>
    <w:rsid w:val="00A65D31"/>
    <w:rsid w:val="00A900E5"/>
    <w:rsid w:val="00AB1EC9"/>
    <w:rsid w:val="00AC6439"/>
    <w:rsid w:val="00AE7D40"/>
    <w:rsid w:val="00AF1E09"/>
    <w:rsid w:val="00B76538"/>
    <w:rsid w:val="00BD0A57"/>
    <w:rsid w:val="00BE1FB6"/>
    <w:rsid w:val="00BF0270"/>
    <w:rsid w:val="00C2013D"/>
    <w:rsid w:val="00C268DC"/>
    <w:rsid w:val="00C80E24"/>
    <w:rsid w:val="00CA4D84"/>
    <w:rsid w:val="00CA7EE1"/>
    <w:rsid w:val="00CB0E36"/>
    <w:rsid w:val="00CE0E38"/>
    <w:rsid w:val="00CF4915"/>
    <w:rsid w:val="00D142B8"/>
    <w:rsid w:val="00D6024D"/>
    <w:rsid w:val="00D63760"/>
    <w:rsid w:val="00DE7F37"/>
    <w:rsid w:val="00E47C22"/>
    <w:rsid w:val="00E70DE2"/>
    <w:rsid w:val="00EB353A"/>
    <w:rsid w:val="00EB3F6A"/>
    <w:rsid w:val="00EC5712"/>
    <w:rsid w:val="00ED7D5F"/>
    <w:rsid w:val="00EF0396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96C55.ECA708D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Monika Kusterle</cp:lastModifiedBy>
  <cp:revision>4</cp:revision>
  <cp:lastPrinted>2020-07-24T06:38:00Z</cp:lastPrinted>
  <dcterms:created xsi:type="dcterms:W3CDTF">2023-05-08T10:50:00Z</dcterms:created>
  <dcterms:modified xsi:type="dcterms:W3CDTF">2023-05-10T08:21:00Z</dcterms:modified>
</cp:coreProperties>
</file>