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F5DF" w14:textId="2E4DFF34" w:rsidR="00BE1E16" w:rsidRPr="00BE1E16" w:rsidRDefault="00413B35" w:rsidP="00BE1E16">
      <w:pPr>
        <w:spacing w:line="240" w:lineRule="exact"/>
        <w:jc w:val="both"/>
        <w:rPr>
          <w:bCs/>
          <w:color w:val="000000"/>
          <w:shd w:val="clear" w:color="auto" w:fill="FFFFFF"/>
          <w:lang w:eastAsia="en-US"/>
        </w:rPr>
      </w:pPr>
      <w:r w:rsidRPr="004100CE">
        <w:rPr>
          <w:shd w:val="clear" w:color="auto" w:fill="FFFFFF"/>
          <w:lang w:eastAsia="en-US"/>
        </w:rPr>
        <w:t xml:space="preserve">Na podlagi </w:t>
      </w:r>
      <w:r w:rsidRPr="004100CE">
        <w:rPr>
          <w:rFonts w:eastAsia="Calibri"/>
          <w:shd w:val="clear" w:color="auto" w:fill="FFFFFF"/>
          <w:lang w:eastAsia="en-US"/>
        </w:rPr>
        <w:t>2</w:t>
      </w:r>
      <w:r w:rsidR="00AD3251">
        <w:rPr>
          <w:rFonts w:eastAsia="Calibri"/>
          <w:shd w:val="clear" w:color="auto" w:fill="FFFFFF"/>
          <w:lang w:eastAsia="en-US"/>
        </w:rPr>
        <w:t>26</w:t>
      </w:r>
      <w:r w:rsidRPr="004100CE">
        <w:rPr>
          <w:rFonts w:eastAsia="Calibri"/>
          <w:shd w:val="clear" w:color="auto" w:fill="FFFFFF"/>
          <w:lang w:eastAsia="en-US"/>
        </w:rPr>
        <w:t>., 22</w:t>
      </w:r>
      <w:r w:rsidR="00AD3251">
        <w:rPr>
          <w:rFonts w:eastAsia="Calibri"/>
          <w:shd w:val="clear" w:color="auto" w:fill="FFFFFF"/>
          <w:lang w:eastAsia="en-US"/>
        </w:rPr>
        <w:t>8</w:t>
      </w:r>
      <w:r w:rsidRPr="004100CE">
        <w:rPr>
          <w:rFonts w:eastAsia="Calibri"/>
          <w:shd w:val="clear" w:color="auto" w:fill="FFFFFF"/>
          <w:lang w:eastAsia="en-US"/>
        </w:rPr>
        <w:t>.</w:t>
      </w:r>
      <w:r w:rsidR="00AD3251">
        <w:rPr>
          <w:rFonts w:eastAsia="Calibri"/>
          <w:shd w:val="clear" w:color="auto" w:fill="FFFFFF"/>
          <w:lang w:eastAsia="en-US"/>
        </w:rPr>
        <w:t>, 231.</w:t>
      </w:r>
      <w:r w:rsidRPr="004100CE">
        <w:rPr>
          <w:rFonts w:eastAsia="Calibri"/>
          <w:shd w:val="clear" w:color="auto" w:fill="FFFFFF"/>
          <w:lang w:eastAsia="en-US"/>
        </w:rPr>
        <w:t xml:space="preserve"> in 2</w:t>
      </w:r>
      <w:r w:rsidR="00AD3251">
        <w:rPr>
          <w:rFonts w:eastAsia="Calibri"/>
          <w:shd w:val="clear" w:color="auto" w:fill="FFFFFF"/>
          <w:lang w:eastAsia="en-US"/>
        </w:rPr>
        <w:t>32</w:t>
      </w:r>
      <w:r w:rsidRPr="004100CE">
        <w:rPr>
          <w:rFonts w:eastAsia="Calibri"/>
          <w:shd w:val="clear" w:color="auto" w:fill="FFFFFF"/>
          <w:lang w:eastAsia="en-US"/>
        </w:rPr>
        <w:t xml:space="preserve">. </w:t>
      </w:r>
      <w:r w:rsidRPr="004100CE">
        <w:rPr>
          <w:shd w:val="clear" w:color="auto" w:fill="FFFFFF"/>
          <w:lang w:eastAsia="en-US"/>
        </w:rPr>
        <w:t xml:space="preserve">člena Zakona o urejanju prostora (Uradni list RS, št. 61/17, 199/21 – ZUreP-3 in 20/22 – </w:t>
      </w:r>
      <w:proofErr w:type="spellStart"/>
      <w:r w:rsidRPr="004100CE">
        <w:rPr>
          <w:shd w:val="clear" w:color="auto" w:fill="FFFFFF"/>
          <w:lang w:eastAsia="en-US"/>
        </w:rPr>
        <w:t>odl</w:t>
      </w:r>
      <w:proofErr w:type="spellEnd"/>
      <w:r w:rsidRPr="004100CE">
        <w:rPr>
          <w:shd w:val="clear" w:color="auto" w:fill="FFFFFF"/>
          <w:lang w:eastAsia="en-US"/>
        </w:rPr>
        <w:t>. US), 2</w:t>
      </w:r>
      <w:r w:rsidR="00AD3251">
        <w:rPr>
          <w:shd w:val="clear" w:color="auto" w:fill="FFFFFF"/>
          <w:lang w:eastAsia="en-US"/>
        </w:rPr>
        <w:t>4</w:t>
      </w:r>
      <w:r w:rsidRPr="004100CE">
        <w:rPr>
          <w:shd w:val="clear" w:color="auto" w:fill="FFFFFF"/>
          <w:lang w:eastAsia="en-US"/>
        </w:rPr>
        <w:t xml:space="preserve">. člena Uredbe o programu opremljanja stavbnih zemljišč in odloku o podlagah za odmero komunalnega prispevka za obstoječo komunalno opremo ter o izračunu in odmeri komunalnega prispevka (Uradni list RS, št. 20/19, 30/19 – </w:t>
      </w:r>
      <w:proofErr w:type="spellStart"/>
      <w:r w:rsidRPr="004100CE">
        <w:rPr>
          <w:shd w:val="clear" w:color="auto" w:fill="FFFFFF"/>
          <w:lang w:eastAsia="en-US"/>
        </w:rPr>
        <w:t>popr</w:t>
      </w:r>
      <w:proofErr w:type="spellEnd"/>
      <w:r w:rsidRPr="004100CE">
        <w:rPr>
          <w:shd w:val="clear" w:color="auto" w:fill="FFFFFF"/>
          <w:lang w:eastAsia="en-US"/>
        </w:rPr>
        <w:t>., 34/19 in 199/21 – ZUreP-3; v nadaljnjem besedilu: Uredba)</w:t>
      </w:r>
      <w:r w:rsidR="00990688">
        <w:rPr>
          <w:shd w:val="clear" w:color="auto" w:fill="FFFFFF"/>
          <w:lang w:eastAsia="en-US"/>
        </w:rPr>
        <w:t xml:space="preserve">, 1. in 2. člena </w:t>
      </w:r>
      <w:r w:rsidR="00990688" w:rsidRPr="00990688">
        <w:rPr>
          <w:shd w:val="clear" w:color="auto" w:fill="FFFFFF"/>
          <w:lang w:eastAsia="en-US"/>
        </w:rPr>
        <w:t>Pravilnik</w:t>
      </w:r>
      <w:r w:rsidR="00990688">
        <w:rPr>
          <w:shd w:val="clear" w:color="auto" w:fill="FFFFFF"/>
          <w:lang w:eastAsia="en-US"/>
        </w:rPr>
        <w:t>a</w:t>
      </w:r>
      <w:r w:rsidR="00990688" w:rsidRPr="00990688">
        <w:rPr>
          <w:shd w:val="clear" w:color="auto" w:fill="FFFFFF"/>
          <w:lang w:eastAsia="en-US"/>
        </w:rPr>
        <w:t xml:space="preserve"> o povprečnih stroških obstoječe komunalne opreme na enoto mere in izračunu komunalnega prispevka na podlagi nadomestnih podlag (Uradni list RS, št. 89/22)</w:t>
      </w:r>
      <w:r w:rsidRPr="004100CE">
        <w:rPr>
          <w:shd w:val="clear" w:color="auto" w:fill="FFFFFF"/>
          <w:lang w:eastAsia="en-US"/>
        </w:rPr>
        <w:t xml:space="preserve"> in </w:t>
      </w:r>
      <w:r w:rsidR="005E2B41" w:rsidRPr="005E2B41">
        <w:rPr>
          <w:shd w:val="clear" w:color="auto" w:fill="FFFFFF"/>
          <w:lang w:eastAsia="en-US"/>
        </w:rPr>
        <w:t xml:space="preserve">18. člena Statuta Občine Žirovnica (Ur. l. RS, št. 66/18 – UPB2), je Občinski svet </w:t>
      </w:r>
      <w:r w:rsidR="009A03D8">
        <w:rPr>
          <w:shd w:val="clear" w:color="auto" w:fill="FFFFFF"/>
          <w:lang w:eastAsia="en-US"/>
        </w:rPr>
        <w:t>O</w:t>
      </w:r>
      <w:r w:rsidR="005E2B41" w:rsidRPr="005E2B41">
        <w:rPr>
          <w:shd w:val="clear" w:color="auto" w:fill="FFFFFF"/>
          <w:lang w:eastAsia="en-US"/>
        </w:rPr>
        <w:t xml:space="preserve">bčine Žirovnica na svoji </w:t>
      </w:r>
      <w:r w:rsidR="005D7AE6">
        <w:rPr>
          <w:shd w:val="clear" w:color="auto" w:fill="FFFFFF"/>
          <w:lang w:eastAsia="en-US"/>
        </w:rPr>
        <w:t>…….</w:t>
      </w:r>
      <w:r w:rsidR="005E2B41" w:rsidRPr="005E2B41">
        <w:rPr>
          <w:shd w:val="clear" w:color="auto" w:fill="FFFFFF"/>
          <w:lang w:eastAsia="en-US"/>
        </w:rPr>
        <w:t xml:space="preserve">. redni seji, dne </w:t>
      </w:r>
      <w:r w:rsidR="006125C0">
        <w:rPr>
          <w:shd w:val="clear" w:color="auto" w:fill="FFFFFF"/>
          <w:lang w:eastAsia="en-US"/>
        </w:rPr>
        <w:t>……………..</w:t>
      </w:r>
      <w:r w:rsidR="005E2B41" w:rsidRPr="005E2B41">
        <w:rPr>
          <w:shd w:val="clear" w:color="auto" w:fill="FFFFFF"/>
          <w:lang w:eastAsia="en-US"/>
        </w:rPr>
        <w:t xml:space="preserve"> 202</w:t>
      </w:r>
      <w:r w:rsidR="009A03D8">
        <w:rPr>
          <w:shd w:val="clear" w:color="auto" w:fill="FFFFFF"/>
          <w:lang w:eastAsia="en-US"/>
        </w:rPr>
        <w:t>3,</w:t>
      </w:r>
      <w:r w:rsidR="005E2B41" w:rsidRPr="005E2B41">
        <w:rPr>
          <w:shd w:val="clear" w:color="auto" w:fill="FFFFFF"/>
          <w:lang w:eastAsia="en-US"/>
        </w:rPr>
        <w:t xml:space="preserve"> sprejel</w:t>
      </w:r>
    </w:p>
    <w:p w14:paraId="153855BD" w14:textId="77777777" w:rsidR="00BE1E16" w:rsidRDefault="00BE1E16" w:rsidP="00BE1E16">
      <w:pPr>
        <w:spacing w:line="240" w:lineRule="exact"/>
        <w:jc w:val="center"/>
        <w:rPr>
          <w:b/>
          <w:color w:val="000000"/>
          <w:shd w:val="clear" w:color="auto" w:fill="FFFFFF"/>
          <w:lang w:eastAsia="en-US"/>
        </w:rPr>
      </w:pPr>
    </w:p>
    <w:p w14:paraId="2D3DF274" w14:textId="77777777" w:rsidR="00C359A6" w:rsidRPr="00BE1E16" w:rsidRDefault="00C359A6" w:rsidP="00BE1E16">
      <w:pPr>
        <w:spacing w:line="240" w:lineRule="exact"/>
        <w:jc w:val="center"/>
        <w:rPr>
          <w:b/>
          <w:color w:val="000000"/>
          <w:shd w:val="clear" w:color="auto" w:fill="FFFFFF"/>
          <w:lang w:eastAsia="en-US"/>
        </w:rPr>
      </w:pPr>
    </w:p>
    <w:p w14:paraId="3C8B07DC" w14:textId="77777777" w:rsidR="00BE1E16" w:rsidRDefault="00BE1E16" w:rsidP="00BE1E16">
      <w:pPr>
        <w:spacing w:line="240" w:lineRule="exact"/>
        <w:jc w:val="center"/>
        <w:rPr>
          <w:b/>
          <w:color w:val="000000"/>
          <w:shd w:val="clear" w:color="auto" w:fill="FFFFFF"/>
          <w:lang w:eastAsia="en-US"/>
        </w:rPr>
      </w:pPr>
      <w:r w:rsidRPr="00BE1E16">
        <w:rPr>
          <w:b/>
          <w:color w:val="000000"/>
          <w:shd w:val="clear" w:color="auto" w:fill="FFFFFF"/>
          <w:lang w:eastAsia="en-US"/>
        </w:rPr>
        <w:t>ODLOK</w:t>
      </w:r>
    </w:p>
    <w:p w14:paraId="3CB953D8" w14:textId="77777777" w:rsidR="004D3DBF" w:rsidRPr="00BE1E16" w:rsidRDefault="004D3DBF" w:rsidP="00BE1E16">
      <w:pPr>
        <w:spacing w:line="240" w:lineRule="exact"/>
        <w:jc w:val="center"/>
        <w:rPr>
          <w:b/>
          <w:color w:val="000000"/>
          <w:shd w:val="clear" w:color="auto" w:fill="FFFFFF"/>
          <w:lang w:eastAsia="en-US"/>
        </w:rPr>
      </w:pPr>
    </w:p>
    <w:p w14:paraId="2CD265E7" w14:textId="65AC6FFB" w:rsidR="00BE1E16" w:rsidRDefault="00BE1E16" w:rsidP="00BE1E16">
      <w:pPr>
        <w:spacing w:line="240" w:lineRule="exact"/>
        <w:jc w:val="center"/>
        <w:rPr>
          <w:b/>
          <w:color w:val="000000"/>
          <w:shd w:val="clear" w:color="auto" w:fill="FFFFFF"/>
          <w:lang w:eastAsia="en-US"/>
        </w:rPr>
      </w:pPr>
      <w:r w:rsidRPr="00BE1E16">
        <w:rPr>
          <w:b/>
          <w:color w:val="000000"/>
          <w:shd w:val="clear" w:color="auto" w:fill="FFFFFF"/>
          <w:lang w:eastAsia="en-US"/>
        </w:rPr>
        <w:t xml:space="preserve">o podlagah za odmero komunalnega prispevka za obstoječo komunalno opremo na območju občine </w:t>
      </w:r>
      <w:r w:rsidR="005E2B41">
        <w:rPr>
          <w:b/>
          <w:color w:val="000000"/>
          <w:shd w:val="clear" w:color="auto" w:fill="FFFFFF"/>
          <w:lang w:eastAsia="en-US"/>
        </w:rPr>
        <w:t>Žirovnica</w:t>
      </w:r>
    </w:p>
    <w:p w14:paraId="1E9C1FFE" w14:textId="77777777" w:rsidR="004D3DBF" w:rsidRDefault="004D3DBF" w:rsidP="00BE1E16">
      <w:pPr>
        <w:spacing w:line="240" w:lineRule="exact"/>
        <w:jc w:val="center"/>
        <w:rPr>
          <w:b/>
          <w:color w:val="000000"/>
          <w:shd w:val="clear" w:color="auto" w:fill="FFFFFF"/>
          <w:lang w:eastAsia="en-US"/>
        </w:rPr>
      </w:pPr>
    </w:p>
    <w:p w14:paraId="66841B47" w14:textId="49CACBD3" w:rsidR="00C359A6" w:rsidRPr="00BE1E16" w:rsidRDefault="00C359A6" w:rsidP="00BE1E16">
      <w:pPr>
        <w:spacing w:line="240" w:lineRule="exact"/>
        <w:jc w:val="center"/>
        <w:rPr>
          <w:b/>
          <w:color w:val="000000"/>
          <w:shd w:val="clear" w:color="auto" w:fill="FFFFFF"/>
          <w:lang w:eastAsia="en-US"/>
        </w:rPr>
      </w:pPr>
    </w:p>
    <w:p w14:paraId="751761FC" w14:textId="77777777" w:rsidR="00BE1E16" w:rsidRPr="004D3DBF" w:rsidRDefault="00BE1E16" w:rsidP="003E36A5">
      <w:pPr>
        <w:pStyle w:val="Odstavekseznama"/>
        <w:numPr>
          <w:ilvl w:val="0"/>
          <w:numId w:val="19"/>
        </w:numPr>
        <w:spacing w:after="200" w:line="240" w:lineRule="exact"/>
        <w:ind w:left="0" w:firstLine="0"/>
        <w:jc w:val="center"/>
        <w:rPr>
          <w:rFonts w:eastAsia="Calibri"/>
          <w:b/>
          <w:bCs/>
          <w:lang w:eastAsia="en-US"/>
        </w:rPr>
      </w:pPr>
      <w:r w:rsidRPr="004D3DBF">
        <w:rPr>
          <w:rFonts w:eastAsia="Calibri"/>
          <w:b/>
          <w:bCs/>
          <w:lang w:eastAsia="en-US"/>
        </w:rPr>
        <w:t>UVODNE DOLOČBE</w:t>
      </w:r>
    </w:p>
    <w:p w14:paraId="1D16EFAB" w14:textId="77777777" w:rsidR="00BE1E16" w:rsidRPr="00BE1E16" w:rsidRDefault="00BE1E16" w:rsidP="00BE1E16">
      <w:pPr>
        <w:spacing w:line="240" w:lineRule="exact"/>
        <w:jc w:val="center"/>
        <w:rPr>
          <w:b/>
          <w:bCs/>
        </w:rPr>
      </w:pPr>
      <w:r w:rsidRPr="00BE1E16">
        <w:rPr>
          <w:b/>
          <w:bCs/>
        </w:rPr>
        <w:t>1. člen</w:t>
      </w:r>
    </w:p>
    <w:p w14:paraId="13F534FC" w14:textId="77777777" w:rsidR="00BE1E16" w:rsidRPr="00BE1E16" w:rsidRDefault="00BE1E16" w:rsidP="00BE1E16">
      <w:pPr>
        <w:suppressAutoHyphens/>
        <w:overflowPunct w:val="0"/>
        <w:autoSpaceDE w:val="0"/>
        <w:autoSpaceDN w:val="0"/>
        <w:adjustRightInd w:val="0"/>
        <w:spacing w:line="240" w:lineRule="exact"/>
        <w:jc w:val="center"/>
        <w:rPr>
          <w:rFonts w:eastAsia="Calibri"/>
          <w:b/>
          <w:bCs/>
          <w:lang w:eastAsia="en-US"/>
        </w:rPr>
      </w:pPr>
      <w:r w:rsidRPr="00BE1E16">
        <w:rPr>
          <w:rFonts w:eastAsia="Calibri"/>
          <w:b/>
          <w:bCs/>
          <w:lang w:eastAsia="en-US"/>
        </w:rPr>
        <w:t>(vsebina odloka)</w:t>
      </w:r>
    </w:p>
    <w:p w14:paraId="40FE746C" w14:textId="77777777" w:rsidR="00BE1E16" w:rsidRPr="00BE1E16" w:rsidRDefault="00BE1E16" w:rsidP="00BE1E16">
      <w:pPr>
        <w:spacing w:line="240" w:lineRule="exact"/>
        <w:rPr>
          <w:rFonts w:eastAsia="Calibri"/>
          <w:shd w:val="clear" w:color="auto" w:fill="FFFFFF"/>
          <w:lang w:eastAsia="en-US"/>
        </w:rPr>
      </w:pPr>
    </w:p>
    <w:p w14:paraId="7CC53B02" w14:textId="63EB77B3" w:rsidR="00BE1E16" w:rsidRPr="00BE1E16" w:rsidRDefault="00BE1E16" w:rsidP="00FB3CB6">
      <w:pPr>
        <w:numPr>
          <w:ilvl w:val="0"/>
          <w:numId w:val="6"/>
        </w:numPr>
        <w:spacing w:after="200"/>
        <w:ind w:left="360"/>
        <w:contextualSpacing/>
        <w:jc w:val="both"/>
        <w:rPr>
          <w:rFonts w:eastAsia="Calibri"/>
          <w:shd w:val="clear" w:color="auto" w:fill="FFFFFF"/>
          <w:lang w:eastAsia="en-US"/>
        </w:rPr>
      </w:pPr>
      <w:r w:rsidRPr="00BE1E16">
        <w:rPr>
          <w:rFonts w:eastAsia="Calibri"/>
          <w:shd w:val="clear" w:color="auto" w:fill="FFFFFF"/>
          <w:lang w:eastAsia="en-US"/>
        </w:rPr>
        <w:t xml:space="preserve">S tem odlokom </w:t>
      </w:r>
      <w:r w:rsidR="003A703B">
        <w:rPr>
          <w:rFonts w:eastAsia="Calibri"/>
          <w:shd w:val="clear" w:color="auto" w:fill="FFFFFF"/>
          <w:lang w:eastAsia="en-US"/>
        </w:rPr>
        <w:t>občina določi</w:t>
      </w:r>
      <w:r w:rsidR="0080524D">
        <w:rPr>
          <w:rFonts w:eastAsia="Calibri"/>
          <w:shd w:val="clear" w:color="auto" w:fill="FFFFFF"/>
          <w:lang w:eastAsia="en-US"/>
        </w:rPr>
        <w:t xml:space="preserve"> </w:t>
      </w:r>
      <w:bookmarkStart w:id="0" w:name="_Hlk125706956"/>
      <w:r w:rsidR="0080524D">
        <w:rPr>
          <w:rFonts w:eastAsia="Calibri"/>
          <w:shd w:val="clear" w:color="auto" w:fill="FFFFFF"/>
          <w:lang w:eastAsia="en-US"/>
        </w:rPr>
        <w:t xml:space="preserve">način za nadomestno </w:t>
      </w:r>
      <w:r w:rsidR="0080524D" w:rsidRPr="0080524D">
        <w:rPr>
          <w:rFonts w:eastAsia="Calibri"/>
          <w:shd w:val="clear" w:color="auto" w:fill="FFFFFF"/>
          <w:lang w:eastAsia="en-US"/>
        </w:rPr>
        <w:t>uporab</w:t>
      </w:r>
      <w:r w:rsidR="0080524D">
        <w:rPr>
          <w:rFonts w:eastAsia="Calibri"/>
          <w:shd w:val="clear" w:color="auto" w:fill="FFFFFF"/>
          <w:lang w:eastAsia="en-US"/>
        </w:rPr>
        <w:t>o</w:t>
      </w:r>
      <w:r w:rsidR="0080524D" w:rsidRPr="0080524D">
        <w:rPr>
          <w:rFonts w:eastAsia="Calibri"/>
          <w:shd w:val="clear" w:color="auto" w:fill="FFFFFF"/>
          <w:lang w:eastAsia="en-US"/>
        </w:rPr>
        <w:t xml:space="preserve"> podlag in pravil </w:t>
      </w:r>
      <w:bookmarkEnd w:id="0"/>
      <w:r w:rsidR="0080524D" w:rsidRPr="0080524D">
        <w:rPr>
          <w:rFonts w:eastAsia="Calibri"/>
          <w:shd w:val="clear" w:color="auto" w:fill="FFFFFF"/>
          <w:lang w:eastAsia="en-US"/>
        </w:rPr>
        <w:t>za odmero in izračun komunalnega prispevka za obstoječo komunalno opremo</w:t>
      </w:r>
      <w:r w:rsidRPr="00BE1E16">
        <w:rPr>
          <w:rFonts w:eastAsia="Calibri"/>
          <w:shd w:val="clear" w:color="auto" w:fill="FFFFFF"/>
          <w:lang w:eastAsia="en-US"/>
        </w:rPr>
        <w:t xml:space="preserve">.  </w:t>
      </w:r>
    </w:p>
    <w:p w14:paraId="7560B0F1" w14:textId="3B8A99D2" w:rsidR="001B2F26" w:rsidRPr="00265060" w:rsidRDefault="001B2F26" w:rsidP="00265060">
      <w:pPr>
        <w:numPr>
          <w:ilvl w:val="0"/>
          <w:numId w:val="6"/>
        </w:numPr>
        <w:spacing w:after="200"/>
        <w:ind w:left="360"/>
        <w:contextualSpacing/>
        <w:jc w:val="both"/>
        <w:rPr>
          <w:rFonts w:eastAsia="Calibri"/>
          <w:shd w:val="clear" w:color="auto" w:fill="FFFFFF"/>
          <w:lang w:eastAsia="en-US"/>
        </w:rPr>
      </w:pPr>
      <w:r>
        <w:rPr>
          <w:rFonts w:eastAsia="Calibri"/>
          <w:shd w:val="clear" w:color="auto" w:fill="FFFFFF"/>
          <w:lang w:eastAsia="en-US"/>
        </w:rPr>
        <w:t>S tem</w:t>
      </w:r>
      <w:r w:rsidR="00BE1E16" w:rsidRPr="00BE1E16">
        <w:rPr>
          <w:rFonts w:eastAsia="Calibri"/>
          <w:shd w:val="clear" w:color="auto" w:fill="FFFFFF"/>
          <w:lang w:eastAsia="en-US"/>
        </w:rPr>
        <w:t xml:space="preserve"> odlok</w:t>
      </w:r>
      <w:r>
        <w:rPr>
          <w:rFonts w:eastAsia="Calibri"/>
          <w:shd w:val="clear" w:color="auto" w:fill="FFFFFF"/>
          <w:lang w:eastAsia="en-US"/>
        </w:rPr>
        <w:t xml:space="preserve">om </w:t>
      </w:r>
      <w:r w:rsidR="00206E38">
        <w:rPr>
          <w:rFonts w:eastAsia="Calibri"/>
          <w:shd w:val="clear" w:color="auto" w:fill="FFFFFF"/>
          <w:lang w:eastAsia="en-US"/>
        </w:rPr>
        <w:t>O</w:t>
      </w:r>
      <w:r>
        <w:rPr>
          <w:rFonts w:eastAsia="Calibri"/>
          <w:shd w:val="clear" w:color="auto" w:fill="FFFFFF"/>
          <w:lang w:eastAsia="en-US"/>
        </w:rPr>
        <w:t>bčina</w:t>
      </w:r>
      <w:r w:rsidR="00BE1E16" w:rsidRPr="00BE1E16">
        <w:rPr>
          <w:rFonts w:eastAsia="Calibri"/>
          <w:shd w:val="clear" w:color="auto" w:fill="FFFFFF"/>
          <w:lang w:eastAsia="en-US"/>
        </w:rPr>
        <w:t xml:space="preserve"> določa </w:t>
      </w:r>
      <w:r w:rsidRPr="001B2F26">
        <w:rPr>
          <w:rFonts w:eastAsia="Calibri"/>
          <w:shd w:val="clear" w:color="auto" w:fill="FFFFFF"/>
          <w:lang w:eastAsia="en-US"/>
        </w:rPr>
        <w:t>stroške obstoječe komunalne opreme na enoto mere tako, da povzame povprečne stroške obstoječe komunalne opreme na enoto mere</w:t>
      </w:r>
      <w:r w:rsidR="00BE1E16" w:rsidRPr="001B2F26">
        <w:rPr>
          <w:rFonts w:eastAsia="Calibri"/>
          <w:shd w:val="clear" w:color="auto" w:fill="FFFFFF"/>
          <w:lang w:eastAsia="en-US"/>
        </w:rPr>
        <w:t>.</w:t>
      </w:r>
      <w:r w:rsidR="00590883">
        <w:rPr>
          <w:rFonts w:eastAsia="Calibri"/>
          <w:shd w:val="clear" w:color="auto" w:fill="FFFFFF"/>
          <w:lang w:eastAsia="en-US"/>
        </w:rPr>
        <w:t xml:space="preserve"> </w:t>
      </w:r>
      <w:r w:rsidR="00590883" w:rsidRPr="00590883">
        <w:rPr>
          <w:rFonts w:eastAsia="Calibri"/>
          <w:shd w:val="clear" w:color="auto" w:fill="FFFFFF"/>
          <w:lang w:eastAsia="en-US"/>
        </w:rPr>
        <w:t>S tem odlokom občina določa tudi merila za odmero komunalnega prispevka</w:t>
      </w:r>
      <w:r w:rsidR="00590883">
        <w:rPr>
          <w:rFonts w:eastAsia="Calibri"/>
          <w:shd w:val="clear" w:color="auto" w:fill="FFFFFF"/>
          <w:lang w:eastAsia="en-US"/>
        </w:rPr>
        <w:t>.</w:t>
      </w:r>
      <w:r w:rsidR="00265060">
        <w:rPr>
          <w:rFonts w:eastAsia="Calibri"/>
          <w:shd w:val="clear" w:color="auto" w:fill="FFFFFF"/>
          <w:lang w:eastAsia="en-US"/>
        </w:rPr>
        <w:t xml:space="preserve"> </w:t>
      </w:r>
      <w:r w:rsidRPr="00265060">
        <w:rPr>
          <w:rFonts w:eastAsia="Calibri"/>
          <w:shd w:val="clear" w:color="auto" w:fill="FFFFFF"/>
          <w:lang w:eastAsia="en-US"/>
        </w:rPr>
        <w:t xml:space="preserve">Povprečni stroški obstoječe komunalne opreme so določeni </w:t>
      </w:r>
      <w:r w:rsidR="003A703B">
        <w:rPr>
          <w:rFonts w:eastAsia="Calibri"/>
          <w:shd w:val="clear" w:color="auto" w:fill="FFFFFF"/>
          <w:lang w:eastAsia="en-US"/>
        </w:rPr>
        <w:t xml:space="preserve">z državnim predpisom </w:t>
      </w:r>
      <w:r w:rsidRPr="00265060">
        <w:rPr>
          <w:rFonts w:eastAsia="Calibri"/>
          <w:shd w:val="clear" w:color="auto" w:fill="FFFFFF"/>
          <w:lang w:eastAsia="en-US"/>
        </w:rPr>
        <w:t>o povprečnih stroških obstoječe komunalne opreme na enoto mere in izračunu komunalnega prispevka na podlagi nadomestnih podlag.</w:t>
      </w:r>
    </w:p>
    <w:p w14:paraId="68334F9C" w14:textId="5BEF1A79" w:rsidR="00BE1E16" w:rsidRPr="00BE1E16" w:rsidRDefault="00BE1E16" w:rsidP="00FB3CB6">
      <w:pPr>
        <w:numPr>
          <w:ilvl w:val="0"/>
          <w:numId w:val="6"/>
        </w:numPr>
        <w:spacing w:after="200"/>
        <w:ind w:left="360"/>
        <w:contextualSpacing/>
        <w:jc w:val="both"/>
        <w:rPr>
          <w:rFonts w:eastAsia="Calibri"/>
          <w:shd w:val="clear" w:color="auto" w:fill="FFFFFF"/>
          <w:lang w:eastAsia="en-US"/>
        </w:rPr>
      </w:pPr>
      <w:r w:rsidRPr="00BE1E16">
        <w:rPr>
          <w:rFonts w:eastAsia="Calibri"/>
          <w:shd w:val="clear" w:color="auto" w:fill="FFFFFF"/>
          <w:lang w:eastAsia="en-US"/>
        </w:rPr>
        <w:t xml:space="preserve">Merila iz </w:t>
      </w:r>
      <w:r w:rsidR="00265060">
        <w:rPr>
          <w:rFonts w:eastAsia="Calibri"/>
          <w:shd w:val="clear" w:color="auto" w:fill="FFFFFF"/>
          <w:lang w:eastAsia="en-US"/>
        </w:rPr>
        <w:t>prejšnjega</w:t>
      </w:r>
      <w:r w:rsidRPr="00BE1E16">
        <w:rPr>
          <w:rFonts w:eastAsia="Calibri"/>
          <w:shd w:val="clear" w:color="auto" w:fill="FFFFFF"/>
          <w:lang w:eastAsia="en-US"/>
        </w:rPr>
        <w:t xml:space="preserve"> odstavka, določena s tem odlokom</w:t>
      </w:r>
      <w:r w:rsidR="00C44DC0">
        <w:rPr>
          <w:rFonts w:eastAsia="Calibri"/>
          <w:shd w:val="clear" w:color="auto" w:fill="FFFFFF"/>
          <w:lang w:eastAsia="en-US"/>
        </w:rPr>
        <w:t>,</w:t>
      </w:r>
      <w:r w:rsidRPr="00BE1E16">
        <w:rPr>
          <w:rFonts w:eastAsia="Calibri"/>
          <w:shd w:val="clear" w:color="auto" w:fill="FFFFFF"/>
          <w:lang w:eastAsia="en-US"/>
        </w:rPr>
        <w:t xml:space="preserve"> so:</w:t>
      </w:r>
    </w:p>
    <w:p w14:paraId="13820112" w14:textId="77777777" w:rsidR="00BE1E16" w:rsidRPr="00BE1E16" w:rsidRDefault="00BE1E16" w:rsidP="00FB3CB6">
      <w:pPr>
        <w:numPr>
          <w:ilvl w:val="0"/>
          <w:numId w:val="7"/>
        </w:numPr>
        <w:spacing w:after="200"/>
        <w:ind w:left="709"/>
        <w:contextualSpacing/>
        <w:jc w:val="both"/>
        <w:rPr>
          <w:rFonts w:eastAsia="Calibri"/>
          <w:shd w:val="clear" w:color="auto" w:fill="FFFFFF"/>
          <w:lang w:eastAsia="en-US"/>
        </w:rPr>
      </w:pPr>
      <w:r w:rsidRPr="00BE1E16">
        <w:rPr>
          <w:rFonts w:eastAsia="Calibri"/>
          <w:shd w:val="clear" w:color="auto" w:fill="FFFFFF"/>
          <w:lang w:eastAsia="en-US"/>
        </w:rPr>
        <w:t>razmerje med deležem gradbene parcele stavbe (</w:t>
      </w:r>
      <w:proofErr w:type="spellStart"/>
      <w:r w:rsidRPr="00BE1E16">
        <w:rPr>
          <w:rFonts w:eastAsia="Calibri"/>
          <w:shd w:val="clear" w:color="auto" w:fill="FFFFFF"/>
          <w:lang w:eastAsia="en-US"/>
        </w:rPr>
        <w:t>Dp</w:t>
      </w:r>
      <w:r w:rsidRPr="00BE1E16">
        <w:rPr>
          <w:rFonts w:eastAsia="Calibri"/>
          <w:shd w:val="clear" w:color="auto" w:fill="FFFFFF"/>
          <w:vertAlign w:val="subscript"/>
          <w:lang w:eastAsia="en-US"/>
        </w:rPr>
        <w:t>o</w:t>
      </w:r>
      <w:proofErr w:type="spellEnd"/>
      <w:r w:rsidRPr="00BE1E16">
        <w:rPr>
          <w:rFonts w:eastAsia="Calibri"/>
          <w:shd w:val="clear" w:color="auto" w:fill="FFFFFF"/>
          <w:lang w:eastAsia="en-US"/>
        </w:rPr>
        <w:t>) in deležem površine objekta (</w:t>
      </w:r>
      <w:proofErr w:type="spellStart"/>
      <w:r w:rsidRPr="00BE1E16">
        <w:rPr>
          <w:rFonts w:eastAsia="Calibri"/>
          <w:shd w:val="clear" w:color="auto" w:fill="FFFFFF"/>
          <w:lang w:eastAsia="en-US"/>
        </w:rPr>
        <w:t>Dt</w:t>
      </w:r>
      <w:r w:rsidRPr="00BE1E16">
        <w:rPr>
          <w:rFonts w:eastAsia="Calibri"/>
          <w:shd w:val="clear" w:color="auto" w:fill="FFFFFF"/>
          <w:vertAlign w:val="subscript"/>
          <w:lang w:eastAsia="en-US"/>
        </w:rPr>
        <w:t>o</w:t>
      </w:r>
      <w:proofErr w:type="spellEnd"/>
      <w:r w:rsidRPr="00BE1E16">
        <w:rPr>
          <w:rFonts w:eastAsia="Calibri"/>
          <w:shd w:val="clear" w:color="auto" w:fill="FFFFFF"/>
          <w:lang w:eastAsia="en-US"/>
        </w:rPr>
        <w:t>),</w:t>
      </w:r>
    </w:p>
    <w:p w14:paraId="7D6FCA81" w14:textId="77777777" w:rsidR="00BE1E16" w:rsidRPr="00BE1E16" w:rsidRDefault="00BE1E16" w:rsidP="00FB3CB6">
      <w:pPr>
        <w:numPr>
          <w:ilvl w:val="0"/>
          <w:numId w:val="7"/>
        </w:numPr>
        <w:spacing w:after="200"/>
        <w:ind w:left="709"/>
        <w:contextualSpacing/>
        <w:jc w:val="both"/>
        <w:rPr>
          <w:rFonts w:eastAsia="Calibri"/>
          <w:shd w:val="clear" w:color="auto" w:fill="FFFFFF"/>
          <w:lang w:eastAsia="en-US"/>
        </w:rPr>
      </w:pPr>
      <w:r w:rsidRPr="00BE1E16">
        <w:rPr>
          <w:rFonts w:eastAsia="Calibri"/>
          <w:shd w:val="clear" w:color="auto" w:fill="FFFFFF"/>
          <w:lang w:eastAsia="en-US"/>
        </w:rPr>
        <w:t>faktor namembnosti objekta (</w:t>
      </w:r>
      <w:proofErr w:type="spellStart"/>
      <w:r w:rsidRPr="00BE1E16">
        <w:rPr>
          <w:rFonts w:eastAsia="Calibri"/>
          <w:shd w:val="clear" w:color="auto" w:fill="FFFFFF"/>
          <w:lang w:eastAsia="en-US"/>
        </w:rPr>
        <w:t>F</w:t>
      </w:r>
      <w:r w:rsidRPr="00BE1E16">
        <w:rPr>
          <w:rFonts w:eastAsia="Calibri"/>
          <w:shd w:val="clear" w:color="auto" w:fill="FFFFFF"/>
          <w:vertAlign w:val="subscript"/>
          <w:lang w:eastAsia="en-US"/>
        </w:rPr>
        <w:t>n</w:t>
      </w:r>
      <w:proofErr w:type="spellEnd"/>
      <w:r w:rsidRPr="00BE1E16">
        <w:rPr>
          <w:rFonts w:eastAsia="Calibri"/>
          <w:shd w:val="clear" w:color="auto" w:fill="FFFFFF"/>
          <w:lang w:eastAsia="en-US"/>
        </w:rPr>
        <w:t>),</w:t>
      </w:r>
    </w:p>
    <w:p w14:paraId="44B8B531" w14:textId="77777777" w:rsidR="00BE1E16" w:rsidRPr="00BE1E16" w:rsidRDefault="00BE1E16" w:rsidP="00FB3CB6">
      <w:pPr>
        <w:numPr>
          <w:ilvl w:val="0"/>
          <w:numId w:val="7"/>
        </w:numPr>
        <w:spacing w:after="200"/>
        <w:ind w:left="709"/>
        <w:contextualSpacing/>
        <w:jc w:val="both"/>
        <w:rPr>
          <w:rFonts w:eastAsia="Calibri"/>
          <w:shd w:val="clear" w:color="auto" w:fill="FFFFFF"/>
          <w:lang w:eastAsia="en-US"/>
        </w:rPr>
      </w:pPr>
      <w:r w:rsidRPr="00BE1E16">
        <w:rPr>
          <w:rFonts w:eastAsia="Calibri"/>
          <w:shd w:val="clear" w:color="auto" w:fill="FFFFFF"/>
          <w:lang w:eastAsia="en-US"/>
        </w:rPr>
        <w:t>računski faktor površine (</w:t>
      </w:r>
      <w:proofErr w:type="spellStart"/>
      <w:r w:rsidRPr="00BE1E16">
        <w:rPr>
          <w:rFonts w:eastAsia="Calibri"/>
          <w:shd w:val="clear" w:color="auto" w:fill="FFFFFF"/>
          <w:lang w:eastAsia="en-US"/>
        </w:rPr>
        <w:t>F</w:t>
      </w:r>
      <w:r w:rsidRPr="00BE1E16">
        <w:rPr>
          <w:rFonts w:eastAsia="Calibri"/>
          <w:shd w:val="clear" w:color="auto" w:fill="FFFFFF"/>
          <w:vertAlign w:val="subscript"/>
          <w:lang w:eastAsia="en-US"/>
        </w:rPr>
        <w:t>p</w:t>
      </w:r>
      <w:proofErr w:type="spellEnd"/>
      <w:r w:rsidRPr="00BE1E16">
        <w:rPr>
          <w:rFonts w:eastAsia="Calibri"/>
          <w:shd w:val="clear" w:color="auto" w:fill="FFFFFF"/>
          <w:lang w:eastAsia="en-US"/>
        </w:rPr>
        <w:t>) in</w:t>
      </w:r>
    </w:p>
    <w:p w14:paraId="7D0BFC3A" w14:textId="77777777" w:rsidR="00BE1E16" w:rsidRPr="00BE1E16" w:rsidRDefault="00BE1E16" w:rsidP="00FB3CB6">
      <w:pPr>
        <w:numPr>
          <w:ilvl w:val="0"/>
          <w:numId w:val="7"/>
        </w:numPr>
        <w:spacing w:after="200"/>
        <w:ind w:left="709"/>
        <w:contextualSpacing/>
        <w:jc w:val="both"/>
        <w:rPr>
          <w:rFonts w:eastAsia="Calibri"/>
          <w:shd w:val="clear" w:color="auto" w:fill="FFFFFF"/>
          <w:lang w:eastAsia="en-US"/>
        </w:rPr>
      </w:pPr>
      <w:r w:rsidRPr="00BE1E16">
        <w:rPr>
          <w:rFonts w:eastAsia="Calibri"/>
          <w:shd w:val="clear" w:color="auto" w:fill="FFFFFF"/>
          <w:lang w:eastAsia="en-US"/>
        </w:rPr>
        <w:t>prispevna stopnja zavezanca (</w:t>
      </w:r>
      <w:proofErr w:type="spellStart"/>
      <w:r w:rsidRPr="00BE1E16">
        <w:rPr>
          <w:rFonts w:eastAsia="Calibri"/>
          <w:shd w:val="clear" w:color="auto" w:fill="FFFFFF"/>
          <w:lang w:eastAsia="en-US"/>
        </w:rPr>
        <w:t>p</w:t>
      </w:r>
      <w:r w:rsidRPr="00BE1E16">
        <w:rPr>
          <w:rFonts w:eastAsia="Calibri"/>
          <w:shd w:val="clear" w:color="auto" w:fill="FFFFFF"/>
          <w:vertAlign w:val="subscript"/>
          <w:lang w:eastAsia="en-US"/>
        </w:rPr>
        <w:t>sz</w:t>
      </w:r>
      <w:proofErr w:type="spellEnd"/>
      <w:r w:rsidRPr="00BE1E16">
        <w:rPr>
          <w:rFonts w:eastAsia="Calibri"/>
          <w:shd w:val="clear" w:color="auto" w:fill="FFFFFF"/>
          <w:lang w:eastAsia="en-US"/>
        </w:rPr>
        <w:t xml:space="preserve">). </w:t>
      </w:r>
    </w:p>
    <w:p w14:paraId="4FD83EB2" w14:textId="1A6CE1D1" w:rsidR="00BE1E16" w:rsidRDefault="00BE1E16" w:rsidP="00BE1E16">
      <w:pPr>
        <w:spacing w:line="240" w:lineRule="exact"/>
        <w:ind w:left="360"/>
        <w:jc w:val="both"/>
        <w:rPr>
          <w:rFonts w:eastAsia="Calibri"/>
          <w:shd w:val="clear" w:color="auto" w:fill="FFFFFF"/>
          <w:lang w:eastAsia="en-US"/>
        </w:rPr>
      </w:pPr>
    </w:p>
    <w:p w14:paraId="5E1FD655" w14:textId="77777777" w:rsidR="003A703B" w:rsidRPr="00BE1E16" w:rsidRDefault="003A703B" w:rsidP="00BE1E16">
      <w:pPr>
        <w:spacing w:line="240" w:lineRule="exact"/>
        <w:ind w:left="360"/>
        <w:jc w:val="both"/>
        <w:rPr>
          <w:rFonts w:eastAsia="Calibri"/>
          <w:shd w:val="clear" w:color="auto" w:fill="FFFFFF"/>
          <w:lang w:eastAsia="en-US"/>
        </w:rPr>
      </w:pPr>
    </w:p>
    <w:p w14:paraId="35EA15CC" w14:textId="77777777"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2. člen</w:t>
      </w:r>
    </w:p>
    <w:p w14:paraId="7052F27F" w14:textId="77777777"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(obstoječa komunalna oprema)</w:t>
      </w:r>
    </w:p>
    <w:p w14:paraId="392DE59A" w14:textId="77777777" w:rsidR="00BE1E16" w:rsidRPr="00C44DC0" w:rsidRDefault="00BE1E16" w:rsidP="00C44DC0">
      <w:pPr>
        <w:rPr>
          <w:rFonts w:eastAsia="Calibri"/>
          <w:shd w:val="clear" w:color="auto" w:fill="FFFFFF"/>
          <w:lang w:eastAsia="en-US"/>
        </w:rPr>
      </w:pPr>
    </w:p>
    <w:p w14:paraId="30CE1B57" w14:textId="77777777" w:rsidR="00BE1E16" w:rsidRPr="00C44DC0" w:rsidRDefault="00BE1E16" w:rsidP="00C44DC0">
      <w:pPr>
        <w:jc w:val="both"/>
        <w:rPr>
          <w:rFonts w:eastAsia="Calibri"/>
          <w:shd w:val="clear" w:color="auto" w:fill="FFFFFF"/>
          <w:lang w:eastAsia="en-US"/>
        </w:rPr>
      </w:pPr>
      <w:r w:rsidRPr="00C44DC0">
        <w:rPr>
          <w:rFonts w:eastAsia="Calibri"/>
          <w:shd w:val="clear" w:color="auto" w:fill="FFFFFF"/>
          <w:lang w:eastAsia="en-US"/>
        </w:rPr>
        <w:t xml:space="preserve">Komunalni prispevek za obstoječo komunalno opremo se odmerja za naslednjo komunalno opremo: </w:t>
      </w:r>
    </w:p>
    <w:p w14:paraId="6DFB9CA3" w14:textId="77777777" w:rsidR="00BE1E16" w:rsidRPr="00C44DC0" w:rsidRDefault="00BE1E16" w:rsidP="004D3DBF">
      <w:pPr>
        <w:numPr>
          <w:ilvl w:val="0"/>
          <w:numId w:val="5"/>
        </w:numPr>
        <w:ind w:left="714" w:hanging="357"/>
        <w:contextualSpacing/>
        <w:rPr>
          <w:rFonts w:eastAsia="Calibri"/>
          <w:shd w:val="clear" w:color="auto" w:fill="FFFFFF"/>
          <w:lang w:eastAsia="en-US"/>
        </w:rPr>
      </w:pPr>
      <w:r w:rsidRPr="00C44DC0">
        <w:rPr>
          <w:rFonts w:eastAsia="Calibri"/>
          <w:shd w:val="clear" w:color="auto" w:fill="FFFFFF"/>
          <w:lang w:eastAsia="en-US"/>
        </w:rPr>
        <w:t>cestno omrežje,</w:t>
      </w:r>
    </w:p>
    <w:p w14:paraId="68B516B8" w14:textId="77777777" w:rsidR="00BE1E16" w:rsidRPr="00C44DC0" w:rsidRDefault="00BE1E16" w:rsidP="004D3DBF">
      <w:pPr>
        <w:numPr>
          <w:ilvl w:val="0"/>
          <w:numId w:val="5"/>
        </w:numPr>
        <w:ind w:left="714" w:hanging="357"/>
        <w:contextualSpacing/>
        <w:rPr>
          <w:rFonts w:eastAsia="Calibri"/>
          <w:shd w:val="clear" w:color="auto" w:fill="FFFFFF"/>
          <w:lang w:eastAsia="en-US"/>
        </w:rPr>
      </w:pPr>
      <w:r w:rsidRPr="00C44DC0">
        <w:rPr>
          <w:rFonts w:eastAsia="Calibri"/>
          <w:shd w:val="clear" w:color="auto" w:fill="FFFFFF"/>
          <w:lang w:eastAsia="en-US"/>
        </w:rPr>
        <w:t>vodovodno omrežje,</w:t>
      </w:r>
    </w:p>
    <w:p w14:paraId="06357447" w14:textId="4F919EAE" w:rsidR="00BE1E16" w:rsidRPr="00C44DC0" w:rsidRDefault="00BE1E16" w:rsidP="004D3DBF">
      <w:pPr>
        <w:numPr>
          <w:ilvl w:val="0"/>
          <w:numId w:val="5"/>
        </w:numPr>
        <w:ind w:left="714" w:hanging="357"/>
        <w:contextualSpacing/>
        <w:rPr>
          <w:rFonts w:eastAsia="Calibri"/>
          <w:shd w:val="clear" w:color="auto" w:fill="FFFFFF"/>
          <w:lang w:eastAsia="en-US"/>
        </w:rPr>
      </w:pPr>
      <w:r w:rsidRPr="00C44DC0">
        <w:rPr>
          <w:rFonts w:eastAsia="Calibri"/>
          <w:shd w:val="clear" w:color="auto" w:fill="FFFFFF"/>
          <w:lang w:eastAsia="en-US"/>
        </w:rPr>
        <w:t>kanalizacijsko omrežje</w:t>
      </w:r>
      <w:r w:rsidR="00EC76F2">
        <w:rPr>
          <w:rFonts w:eastAsia="Calibri"/>
          <w:shd w:val="clear" w:color="auto" w:fill="FFFFFF"/>
          <w:lang w:eastAsia="en-US"/>
        </w:rPr>
        <w:t xml:space="preserve"> in</w:t>
      </w:r>
    </w:p>
    <w:p w14:paraId="4BBA7CB1" w14:textId="3CF7B31E" w:rsidR="00EC76F2" w:rsidRDefault="000E0CEE" w:rsidP="00EC76F2">
      <w:pPr>
        <w:numPr>
          <w:ilvl w:val="0"/>
          <w:numId w:val="5"/>
        </w:numPr>
        <w:ind w:left="714" w:hanging="357"/>
        <w:contextualSpacing/>
        <w:rPr>
          <w:rFonts w:eastAsia="Calibri"/>
          <w:shd w:val="clear" w:color="auto" w:fill="FFFFFF"/>
          <w:lang w:eastAsia="en-US"/>
        </w:rPr>
      </w:pPr>
      <w:r>
        <w:rPr>
          <w:rFonts w:eastAsia="Calibri"/>
          <w:shd w:val="clear" w:color="auto" w:fill="FFFFFF"/>
          <w:lang w:eastAsia="en-US"/>
        </w:rPr>
        <w:t>javne površine</w:t>
      </w:r>
      <w:r w:rsidR="00EC76F2">
        <w:rPr>
          <w:rFonts w:eastAsia="Calibri"/>
          <w:shd w:val="clear" w:color="auto" w:fill="FFFFFF"/>
          <w:lang w:eastAsia="en-US"/>
        </w:rPr>
        <w:t>.</w:t>
      </w:r>
    </w:p>
    <w:p w14:paraId="12F2DDEF" w14:textId="3FAD10B3" w:rsidR="00874CE4" w:rsidRPr="00C44DC0" w:rsidRDefault="00874CE4" w:rsidP="00EC76F2">
      <w:pPr>
        <w:contextualSpacing/>
        <w:rPr>
          <w:rFonts w:eastAsia="Calibri"/>
          <w:shd w:val="clear" w:color="auto" w:fill="FFFFFF"/>
          <w:lang w:eastAsia="en-US"/>
        </w:rPr>
      </w:pPr>
    </w:p>
    <w:p w14:paraId="78F622F8" w14:textId="77777777" w:rsidR="00B33802" w:rsidRDefault="00B33802">
      <w:pPr>
        <w:rPr>
          <w:rFonts w:eastAsia="Calibri"/>
          <w:b/>
          <w:bCs/>
          <w:shd w:val="clear" w:color="auto" w:fill="FFFFFF"/>
          <w:lang w:eastAsia="en-US"/>
        </w:rPr>
      </w:pPr>
    </w:p>
    <w:p w14:paraId="15A87FCE" w14:textId="77777777"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3. člen</w:t>
      </w:r>
    </w:p>
    <w:p w14:paraId="7C3BB11D" w14:textId="77777777"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(pomen izrazov)</w:t>
      </w:r>
    </w:p>
    <w:p w14:paraId="190696FB" w14:textId="77777777" w:rsidR="00BE1E16" w:rsidRPr="00C44DC0" w:rsidRDefault="00BE1E16" w:rsidP="00C44DC0">
      <w:pPr>
        <w:jc w:val="center"/>
        <w:rPr>
          <w:rFonts w:eastAsia="Calibri"/>
          <w:shd w:val="clear" w:color="auto" w:fill="FFFFFF"/>
          <w:lang w:eastAsia="en-US"/>
        </w:rPr>
      </w:pPr>
    </w:p>
    <w:p w14:paraId="2CDACEF6" w14:textId="6119131E" w:rsidR="00BE1E16" w:rsidRDefault="00BE1E16" w:rsidP="00C44DC0">
      <w:pPr>
        <w:jc w:val="both"/>
        <w:rPr>
          <w:rFonts w:eastAsia="Calibri"/>
          <w:shd w:val="clear" w:color="auto" w:fill="FFFFFF"/>
          <w:lang w:eastAsia="en-US"/>
        </w:rPr>
      </w:pPr>
      <w:r w:rsidRPr="00C44DC0">
        <w:rPr>
          <w:rFonts w:eastAsia="Calibri"/>
          <w:shd w:val="clear" w:color="auto" w:fill="FFFFFF"/>
          <w:lang w:eastAsia="en-US"/>
        </w:rPr>
        <w:t>Izrazi, uporabljeni v tem odloku, pomenijo enako kot v predpisu, ki ureja urejanje prostora in v uredbi, ki določa podrobnejšo vsebino odloka o podlagah za odmero komunalnega prispevka za obstoječo komunalno opremo ter odmero in izračun komunalnega prispevka.</w:t>
      </w:r>
    </w:p>
    <w:p w14:paraId="19FF59D1" w14:textId="55B8C536" w:rsidR="009D22F5" w:rsidRDefault="009D22F5" w:rsidP="00C44DC0">
      <w:pPr>
        <w:jc w:val="both"/>
        <w:rPr>
          <w:rFonts w:eastAsia="Calibri"/>
          <w:shd w:val="clear" w:color="auto" w:fill="FFFFFF"/>
          <w:lang w:eastAsia="en-US"/>
        </w:rPr>
      </w:pPr>
    </w:p>
    <w:p w14:paraId="2C727F3C" w14:textId="77777777" w:rsidR="009D22F5" w:rsidRDefault="009D22F5" w:rsidP="00C44DC0">
      <w:pPr>
        <w:jc w:val="both"/>
        <w:rPr>
          <w:rFonts w:eastAsia="Calibri"/>
          <w:shd w:val="clear" w:color="auto" w:fill="FFFFFF"/>
          <w:lang w:eastAsia="en-US"/>
        </w:rPr>
      </w:pPr>
    </w:p>
    <w:p w14:paraId="538E8A6C" w14:textId="77777777" w:rsidR="009D22F5" w:rsidRPr="00C44DC0" w:rsidRDefault="009D22F5" w:rsidP="009D22F5">
      <w:pPr>
        <w:jc w:val="center"/>
        <w:rPr>
          <w:rFonts w:eastAsia="Calibri"/>
          <w:b/>
          <w:bCs/>
          <w:shd w:val="clear" w:color="auto" w:fill="FFFFFF"/>
          <w:lang w:eastAsia="en-US"/>
        </w:rPr>
      </w:pPr>
      <w:r w:rsidRPr="00C44DC0">
        <w:rPr>
          <w:rFonts w:eastAsia="Calibri"/>
          <w:b/>
          <w:bCs/>
          <w:shd w:val="clear" w:color="auto" w:fill="FFFFFF"/>
          <w:lang w:eastAsia="en-US"/>
        </w:rPr>
        <w:t>4. člen</w:t>
      </w:r>
    </w:p>
    <w:p w14:paraId="58071338" w14:textId="5CB47F5A" w:rsidR="009D22F5" w:rsidRDefault="009D22F5" w:rsidP="009D22F5">
      <w:pPr>
        <w:jc w:val="center"/>
        <w:rPr>
          <w:rFonts w:eastAsia="Calibri"/>
          <w:b/>
          <w:bCs/>
          <w:shd w:val="clear" w:color="auto" w:fill="FFFFFF"/>
          <w:lang w:eastAsia="en-US"/>
        </w:rPr>
      </w:pPr>
      <w:r w:rsidRPr="009D22F5">
        <w:rPr>
          <w:rFonts w:eastAsia="Calibri"/>
          <w:b/>
          <w:bCs/>
          <w:shd w:val="clear" w:color="auto" w:fill="FFFFFF"/>
          <w:lang w:eastAsia="en-US"/>
        </w:rPr>
        <w:t>(zavezanec za plačilo komunalnega prispevka)</w:t>
      </w:r>
    </w:p>
    <w:p w14:paraId="13867B43" w14:textId="77777777" w:rsidR="00D32216" w:rsidRDefault="00D32216" w:rsidP="009D22F5">
      <w:pPr>
        <w:jc w:val="center"/>
        <w:rPr>
          <w:rFonts w:eastAsia="Calibri"/>
          <w:shd w:val="clear" w:color="auto" w:fill="FFFFFF"/>
          <w:lang w:eastAsia="en-US"/>
        </w:rPr>
      </w:pPr>
    </w:p>
    <w:p w14:paraId="604AC0F9" w14:textId="77777777" w:rsidR="00D32216" w:rsidRDefault="009D22F5" w:rsidP="009D22F5">
      <w:pPr>
        <w:pStyle w:val="Odstavekseznama"/>
        <w:numPr>
          <w:ilvl w:val="0"/>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Zavezanec za plačilo komunalnega prispevka za obstoječo komunalno opremo je investitor oziroma lastnik:</w:t>
      </w:r>
    </w:p>
    <w:p w14:paraId="7871C3EF" w14:textId="77777777" w:rsidR="00D32216" w:rsidRDefault="009D22F5" w:rsidP="009D22F5">
      <w:pPr>
        <w:pStyle w:val="Odstavekseznama"/>
        <w:numPr>
          <w:ilvl w:val="1"/>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objekta, ki se na novo neposredno ali posredno priključuje na ali uporablja obstoječo komunalno opremo;</w:t>
      </w:r>
    </w:p>
    <w:p w14:paraId="704E9922" w14:textId="77777777" w:rsidR="00D32216" w:rsidRPr="00D32216" w:rsidRDefault="009D22F5" w:rsidP="009D22F5">
      <w:pPr>
        <w:pStyle w:val="Odstavekseznama"/>
        <w:numPr>
          <w:ilvl w:val="1"/>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objekta, ki se mu povečuje bruto tlorisna površina, ali</w:t>
      </w:r>
    </w:p>
    <w:p w14:paraId="6418FE9E" w14:textId="77777777" w:rsidR="00D32216" w:rsidRPr="00D32216" w:rsidRDefault="009D22F5" w:rsidP="009D22F5">
      <w:pPr>
        <w:pStyle w:val="Odstavekseznama"/>
        <w:numPr>
          <w:ilvl w:val="1"/>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objekta, ki se mu spreminja namembnost.</w:t>
      </w:r>
    </w:p>
    <w:p w14:paraId="040E839F" w14:textId="77777777" w:rsidR="00D32216" w:rsidRPr="00D32216" w:rsidRDefault="009D22F5" w:rsidP="009D22F5">
      <w:pPr>
        <w:pStyle w:val="Odstavekseznama"/>
        <w:numPr>
          <w:ilvl w:val="0"/>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Zavezanec za plačilo komunalnega prispevka za obstoječo komunalno opremo je tudi:</w:t>
      </w:r>
    </w:p>
    <w:p w14:paraId="06DF35B2" w14:textId="032ED77E" w:rsidR="00D32216" w:rsidRPr="00D32216" w:rsidRDefault="009D22F5" w:rsidP="009D22F5">
      <w:pPr>
        <w:pStyle w:val="Odstavekseznama"/>
        <w:numPr>
          <w:ilvl w:val="1"/>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zavezanec za plačilo komunalnega prispevka za novo komunalno opremo iz programa opremljanja</w:t>
      </w:r>
      <w:r w:rsidR="00D32216">
        <w:rPr>
          <w:rFonts w:eastAsia="Calibri"/>
          <w:sz w:val="24"/>
          <w:szCs w:val="24"/>
          <w:shd w:val="clear" w:color="auto" w:fill="FFFFFF"/>
          <w:lang w:eastAsia="en-US"/>
        </w:rPr>
        <w:t xml:space="preserve"> stavbnih zemljišč (v nadaljevanju: program opremljanja)</w:t>
      </w:r>
      <w:r w:rsidRPr="00D32216">
        <w:rPr>
          <w:rFonts w:eastAsia="Calibri"/>
          <w:sz w:val="24"/>
          <w:szCs w:val="24"/>
          <w:shd w:val="clear" w:color="auto" w:fill="FFFFFF"/>
          <w:lang w:eastAsia="en-US"/>
        </w:rPr>
        <w:t>, če se komunalna oprema iz programa opremljanja neposredno ali posredno priključuje na obstoječo komunalno opremo oziroma bremeni že zgrajeno komunalno opremo;</w:t>
      </w:r>
    </w:p>
    <w:p w14:paraId="540C6172" w14:textId="06A519E6" w:rsidR="003E36A5" w:rsidRPr="00D32216" w:rsidRDefault="009D22F5" w:rsidP="009D22F5">
      <w:pPr>
        <w:pStyle w:val="Odstavekseznama"/>
        <w:numPr>
          <w:ilvl w:val="1"/>
          <w:numId w:val="25"/>
        </w:numPr>
        <w:jc w:val="both"/>
        <w:rPr>
          <w:rFonts w:eastAsia="Calibri"/>
          <w:sz w:val="24"/>
          <w:szCs w:val="24"/>
          <w:shd w:val="clear" w:color="auto" w:fill="FFFFFF"/>
          <w:lang w:eastAsia="en-US"/>
        </w:rPr>
      </w:pPr>
      <w:r w:rsidRPr="00D32216">
        <w:rPr>
          <w:rFonts w:eastAsia="Calibri"/>
          <w:sz w:val="24"/>
          <w:szCs w:val="24"/>
          <w:shd w:val="clear" w:color="auto" w:fill="FFFFFF"/>
          <w:lang w:eastAsia="en-US"/>
        </w:rPr>
        <w:t>investitor, ki gradi objekt v območju, ki se opremlja na podlagi pogodbe o opremljanju, če se komunalna oprema, ki je predmet pogodbe o opremljanju, posredno ali neposredno priključuje na obstoječo komunalno opremo oziroma bremeni že zgrajeno komunalno opremo.</w:t>
      </w:r>
    </w:p>
    <w:p w14:paraId="61427A8C" w14:textId="29336B78" w:rsidR="00BE1E16" w:rsidRDefault="00BE1E16" w:rsidP="00C44DC0">
      <w:pPr>
        <w:ind w:left="360"/>
        <w:rPr>
          <w:rFonts w:eastAsia="Calibri"/>
          <w:b/>
          <w:bCs/>
          <w:shd w:val="clear" w:color="auto" w:fill="FFFFFF"/>
          <w:lang w:eastAsia="en-US"/>
        </w:rPr>
      </w:pPr>
    </w:p>
    <w:p w14:paraId="34AEA1ED" w14:textId="77777777" w:rsidR="00D32216" w:rsidRDefault="00D32216" w:rsidP="00C44DC0">
      <w:pPr>
        <w:ind w:left="360"/>
        <w:rPr>
          <w:rFonts w:eastAsia="Calibri"/>
          <w:b/>
          <w:bCs/>
          <w:shd w:val="clear" w:color="auto" w:fill="FFFFFF"/>
          <w:lang w:eastAsia="en-US"/>
        </w:rPr>
      </w:pPr>
    </w:p>
    <w:p w14:paraId="7DD679B4" w14:textId="77777777" w:rsidR="003E36A5" w:rsidRDefault="00AB6738" w:rsidP="003E36A5">
      <w:pPr>
        <w:pStyle w:val="Odstavekseznama"/>
        <w:ind w:left="0"/>
        <w:jc w:val="center"/>
        <w:rPr>
          <w:rFonts w:eastAsia="Calibri"/>
          <w:b/>
          <w:bCs/>
          <w:shd w:val="clear" w:color="auto" w:fill="FFFFFF"/>
          <w:lang w:eastAsia="en-US"/>
        </w:rPr>
      </w:pPr>
      <w:r>
        <w:rPr>
          <w:rFonts w:eastAsia="Calibri"/>
          <w:b/>
          <w:bCs/>
          <w:shd w:val="clear" w:color="auto" w:fill="FFFFFF"/>
          <w:lang w:eastAsia="en-US"/>
        </w:rPr>
        <w:t xml:space="preserve">II. </w:t>
      </w:r>
      <w:r w:rsidR="00BE1E16" w:rsidRPr="00240736">
        <w:rPr>
          <w:rFonts w:eastAsia="Calibri"/>
          <w:b/>
          <w:bCs/>
          <w:shd w:val="clear" w:color="auto" w:fill="FFFFFF"/>
          <w:lang w:eastAsia="en-US"/>
        </w:rPr>
        <w:t xml:space="preserve">PODLAGE ZA ODMERO KOMUNALNEGA PRISPEVKA </w:t>
      </w:r>
    </w:p>
    <w:p w14:paraId="76638DB6" w14:textId="24020DC1" w:rsidR="00BE1E16" w:rsidRPr="00240736" w:rsidRDefault="00BE1E16" w:rsidP="003E36A5">
      <w:pPr>
        <w:pStyle w:val="Odstavekseznama"/>
        <w:ind w:left="0"/>
        <w:jc w:val="center"/>
        <w:rPr>
          <w:rFonts w:eastAsia="Calibri"/>
          <w:b/>
          <w:bCs/>
          <w:shd w:val="clear" w:color="auto" w:fill="FFFFFF"/>
          <w:lang w:eastAsia="en-US"/>
        </w:rPr>
      </w:pPr>
      <w:r w:rsidRPr="00240736">
        <w:rPr>
          <w:rFonts w:eastAsia="Calibri"/>
          <w:b/>
          <w:bCs/>
          <w:shd w:val="clear" w:color="auto" w:fill="FFFFFF"/>
          <w:lang w:eastAsia="en-US"/>
        </w:rPr>
        <w:t>ZA OBSTOJEČO KOMUNALNO OPREMO</w:t>
      </w:r>
    </w:p>
    <w:p w14:paraId="16BC9E78" w14:textId="77777777" w:rsidR="00BE1E16" w:rsidRPr="00C44DC0" w:rsidRDefault="00BE1E16" w:rsidP="00C44DC0">
      <w:pPr>
        <w:shd w:val="clear" w:color="auto" w:fill="FFFFFF"/>
        <w:jc w:val="both"/>
      </w:pPr>
    </w:p>
    <w:p w14:paraId="5D182028" w14:textId="24CCE8BD" w:rsidR="00BE1E16" w:rsidRPr="00C44DC0" w:rsidRDefault="003138AF" w:rsidP="00C44DC0">
      <w:pPr>
        <w:jc w:val="center"/>
        <w:rPr>
          <w:rFonts w:eastAsia="Calibri"/>
          <w:b/>
          <w:shd w:val="clear" w:color="auto" w:fill="FFFFFF"/>
          <w:lang w:eastAsia="en-US"/>
        </w:rPr>
      </w:pPr>
      <w:r>
        <w:rPr>
          <w:rFonts w:eastAsia="Calibri"/>
          <w:b/>
          <w:lang w:eastAsia="en-US"/>
        </w:rPr>
        <w:t>5</w:t>
      </w:r>
      <w:r w:rsidR="00BE1E16" w:rsidRPr="00C44DC0">
        <w:rPr>
          <w:rFonts w:eastAsia="Calibri"/>
          <w:b/>
          <w:shd w:val="clear" w:color="auto" w:fill="FFFFFF"/>
          <w:lang w:eastAsia="en-US"/>
        </w:rPr>
        <w:t>. člen</w:t>
      </w:r>
    </w:p>
    <w:p w14:paraId="01969213" w14:textId="520FF70D" w:rsidR="00BE1E16" w:rsidRPr="00C44DC0" w:rsidRDefault="00BE1E16" w:rsidP="00C44DC0">
      <w:pPr>
        <w:jc w:val="center"/>
        <w:rPr>
          <w:rFonts w:eastAsia="Calibri"/>
          <w:b/>
          <w:lang w:eastAsia="en-US"/>
        </w:rPr>
      </w:pPr>
      <w:r w:rsidRPr="00C44DC0">
        <w:rPr>
          <w:rFonts w:eastAsia="Calibri"/>
          <w:b/>
          <w:shd w:val="clear" w:color="auto" w:fill="FFFFFF"/>
          <w:lang w:eastAsia="en-US"/>
        </w:rPr>
        <w:t>(</w:t>
      </w:r>
      <w:r w:rsidR="00FB5140" w:rsidRPr="00FB5140">
        <w:rPr>
          <w:rFonts w:eastAsia="Calibri"/>
          <w:b/>
          <w:shd w:val="clear" w:color="auto" w:fill="FFFFFF"/>
          <w:lang w:eastAsia="en-US"/>
        </w:rPr>
        <w:t>povprečni stroški obstoječe komunalne opreme na enoto mere</w:t>
      </w:r>
      <w:r w:rsidRPr="00C44DC0">
        <w:rPr>
          <w:rFonts w:eastAsia="Calibri"/>
          <w:b/>
          <w:lang w:eastAsia="en-US"/>
        </w:rPr>
        <w:t>)</w:t>
      </w:r>
    </w:p>
    <w:p w14:paraId="086E99D4" w14:textId="77777777" w:rsidR="00BE1E16" w:rsidRPr="00C44DC0" w:rsidRDefault="00BE1E16" w:rsidP="00C44DC0">
      <w:pPr>
        <w:shd w:val="clear" w:color="auto" w:fill="FFFFFF"/>
        <w:jc w:val="both"/>
        <w:rPr>
          <w:b/>
        </w:rPr>
      </w:pPr>
    </w:p>
    <w:p w14:paraId="01B44E83" w14:textId="31333BBB" w:rsidR="00BE1E16" w:rsidRPr="00C44DC0" w:rsidRDefault="00FB5140" w:rsidP="00C44DC0">
      <w:pPr>
        <w:shd w:val="clear" w:color="auto" w:fill="FFFFFF"/>
        <w:jc w:val="both"/>
      </w:pPr>
      <w:r>
        <w:t>Povprečni s</w:t>
      </w:r>
      <w:r w:rsidR="00BE1E16" w:rsidRPr="00C44DC0">
        <w:t xml:space="preserve">troški </w:t>
      </w:r>
      <w:r w:rsidR="00F22EF1" w:rsidRPr="00C44DC0">
        <w:t xml:space="preserve">obstoječe komunalne opreme </w:t>
      </w:r>
      <w:r w:rsidR="00BE1E16" w:rsidRPr="00C44DC0">
        <w:t>po vrstah</w:t>
      </w:r>
      <w:r>
        <w:t xml:space="preserve"> komunalne opreme </w:t>
      </w:r>
      <w:r w:rsidR="00BE1E16" w:rsidRPr="00C44DC0">
        <w:t xml:space="preserve">na enoto mere, </w:t>
      </w:r>
      <w:r>
        <w:t>so</w:t>
      </w:r>
      <w:r w:rsidR="00BE1E16" w:rsidRPr="00C44DC0">
        <w:t xml:space="preserve">:   </w:t>
      </w:r>
    </w:p>
    <w:tbl>
      <w:tblPr>
        <w:tblW w:w="8834" w:type="dxa"/>
        <w:tblInd w:w="-5" w:type="dxa"/>
        <w:tblCellMar>
          <w:left w:w="70" w:type="dxa"/>
          <w:right w:w="70" w:type="dxa"/>
        </w:tblCellMar>
        <w:tblLook w:val="04A0" w:firstRow="1" w:lastRow="0" w:firstColumn="1" w:lastColumn="0" w:noHBand="0" w:noVBand="1"/>
      </w:tblPr>
      <w:tblGrid>
        <w:gridCol w:w="594"/>
        <w:gridCol w:w="3552"/>
        <w:gridCol w:w="2344"/>
        <w:gridCol w:w="2344"/>
      </w:tblGrid>
      <w:tr w:rsidR="00BE1E16" w:rsidRPr="00C44DC0" w14:paraId="30D1F82C" w14:textId="77777777" w:rsidTr="00DC0F01">
        <w:trPr>
          <w:trHeight w:val="490"/>
        </w:trPr>
        <w:tc>
          <w:tcPr>
            <w:tcW w:w="594" w:type="dxa"/>
            <w:vMerge w:val="restart"/>
            <w:tcBorders>
              <w:top w:val="single" w:sz="4" w:space="0" w:color="auto"/>
              <w:left w:val="single" w:sz="4" w:space="0" w:color="auto"/>
              <w:right w:val="single" w:sz="4" w:space="0" w:color="auto"/>
            </w:tcBorders>
            <w:shd w:val="clear" w:color="auto" w:fill="D9D9D9"/>
            <w:vAlign w:val="center"/>
          </w:tcPr>
          <w:p w14:paraId="7D3498F8" w14:textId="77777777" w:rsidR="00BE1E16" w:rsidRPr="00C44DC0" w:rsidRDefault="00BE1E16" w:rsidP="00C44DC0">
            <w:pPr>
              <w:rPr>
                <w:b/>
                <w:iCs/>
                <w:lang w:eastAsia="en-US"/>
              </w:rPr>
            </w:pPr>
            <w:proofErr w:type="spellStart"/>
            <w:r w:rsidRPr="00C44DC0">
              <w:rPr>
                <w:b/>
                <w:iCs/>
                <w:lang w:eastAsia="en-US"/>
              </w:rPr>
              <w:t>Z.št</w:t>
            </w:r>
            <w:proofErr w:type="spellEnd"/>
            <w:r w:rsidRPr="00C44DC0">
              <w:rPr>
                <w:b/>
                <w:iCs/>
                <w:lang w:eastAsia="en-US"/>
              </w:rPr>
              <w:t>.</w:t>
            </w:r>
          </w:p>
        </w:tc>
        <w:tc>
          <w:tcPr>
            <w:tcW w:w="3552" w:type="dxa"/>
            <w:vMerge w:val="restart"/>
            <w:tcBorders>
              <w:top w:val="single" w:sz="4" w:space="0" w:color="auto"/>
              <w:left w:val="single" w:sz="4" w:space="0" w:color="auto"/>
              <w:right w:val="single" w:sz="4" w:space="0" w:color="auto"/>
            </w:tcBorders>
            <w:shd w:val="clear" w:color="auto" w:fill="D9D9D9"/>
            <w:noWrap/>
            <w:vAlign w:val="center"/>
            <w:hideMark/>
          </w:tcPr>
          <w:p w14:paraId="65DD4C15" w14:textId="77777777" w:rsidR="00BE1E16" w:rsidRPr="00C44DC0" w:rsidRDefault="00BE1E16" w:rsidP="00C44DC0">
            <w:pPr>
              <w:jc w:val="center"/>
              <w:rPr>
                <w:b/>
                <w:iCs/>
                <w:lang w:eastAsia="en-US"/>
              </w:rPr>
            </w:pPr>
          </w:p>
          <w:p w14:paraId="75BC9CAA" w14:textId="77777777" w:rsidR="00BE1E16" w:rsidRPr="00C44DC0" w:rsidRDefault="00BE1E16" w:rsidP="00C44DC0">
            <w:pPr>
              <w:jc w:val="center"/>
              <w:rPr>
                <w:b/>
                <w:iCs/>
                <w:lang w:eastAsia="en-US"/>
              </w:rPr>
            </w:pPr>
            <w:r w:rsidRPr="00C44DC0">
              <w:rPr>
                <w:b/>
                <w:iCs/>
                <w:lang w:eastAsia="en-US"/>
              </w:rPr>
              <w:t>Vrsta obstoječe komunalne opreme</w:t>
            </w:r>
          </w:p>
          <w:p w14:paraId="5FD31A32" w14:textId="77777777" w:rsidR="00BE1E16" w:rsidRPr="00C44DC0" w:rsidRDefault="00BE1E16" w:rsidP="00C44DC0">
            <w:pPr>
              <w:rPr>
                <w:iCs/>
                <w:lang w:eastAsia="en-US"/>
              </w:rPr>
            </w:pPr>
          </w:p>
        </w:tc>
        <w:tc>
          <w:tcPr>
            <w:tcW w:w="2344" w:type="dxa"/>
            <w:tcBorders>
              <w:top w:val="single" w:sz="4" w:space="0" w:color="auto"/>
              <w:left w:val="nil"/>
              <w:bottom w:val="single" w:sz="4" w:space="0" w:color="auto"/>
              <w:right w:val="single" w:sz="4" w:space="0" w:color="auto"/>
            </w:tcBorders>
            <w:shd w:val="clear" w:color="auto" w:fill="D9D9D9"/>
            <w:noWrap/>
            <w:vAlign w:val="bottom"/>
            <w:hideMark/>
          </w:tcPr>
          <w:p w14:paraId="40A0D47E" w14:textId="77777777" w:rsidR="00BE1E16" w:rsidRPr="00C44DC0" w:rsidRDefault="00BE1E16" w:rsidP="00C44DC0">
            <w:pPr>
              <w:jc w:val="center"/>
              <w:rPr>
                <w:rFonts w:eastAsia="Calibri"/>
                <w:b/>
                <w:bCs/>
                <w:iCs/>
                <w:color w:val="000000"/>
                <w:lang w:eastAsia="en-US"/>
              </w:rPr>
            </w:pPr>
            <w:r w:rsidRPr="00C44DC0">
              <w:rPr>
                <w:rFonts w:eastAsia="Calibri"/>
                <w:b/>
                <w:bCs/>
                <w:iCs/>
                <w:color w:val="000000"/>
                <w:lang w:eastAsia="en-US"/>
              </w:rPr>
              <w:t>Cena opremljanja</w:t>
            </w:r>
          </w:p>
          <w:p w14:paraId="7504C7ED" w14:textId="77777777" w:rsidR="00BE1E16" w:rsidRPr="00C44DC0" w:rsidRDefault="00BE1E16" w:rsidP="00C44DC0">
            <w:pPr>
              <w:jc w:val="center"/>
              <w:rPr>
                <w:rFonts w:eastAsia="Calibri"/>
                <w:b/>
                <w:bCs/>
                <w:iCs/>
                <w:color w:val="000000"/>
                <w:lang w:eastAsia="en-US"/>
              </w:rPr>
            </w:pPr>
            <w:r w:rsidRPr="00C44DC0">
              <w:rPr>
                <w:rFonts w:eastAsia="Calibri"/>
                <w:b/>
                <w:bCs/>
                <w:iCs/>
                <w:color w:val="000000"/>
                <w:lang w:eastAsia="en-US"/>
              </w:rPr>
              <w:t>m</w:t>
            </w:r>
            <w:r w:rsidRPr="00C44DC0">
              <w:rPr>
                <w:rFonts w:eastAsia="Calibri"/>
                <w:b/>
                <w:bCs/>
                <w:iCs/>
                <w:color w:val="000000"/>
                <w:vertAlign w:val="superscript"/>
                <w:lang w:eastAsia="en-US"/>
              </w:rPr>
              <w:t>2</w:t>
            </w:r>
            <w:r w:rsidRPr="00C44DC0">
              <w:rPr>
                <w:rFonts w:eastAsia="Calibri"/>
                <w:b/>
                <w:bCs/>
                <w:iCs/>
                <w:color w:val="000000"/>
                <w:lang w:eastAsia="en-US"/>
              </w:rPr>
              <w:t xml:space="preserve"> gradbene parcele objekta</w:t>
            </w:r>
          </w:p>
          <w:p w14:paraId="5376CD5A" w14:textId="77777777" w:rsidR="00BE1E16" w:rsidRPr="00C44DC0" w:rsidRDefault="00BE1E16" w:rsidP="00C44DC0">
            <w:pPr>
              <w:jc w:val="center"/>
              <w:rPr>
                <w:b/>
                <w:bCs/>
                <w:iCs/>
                <w:lang w:eastAsia="en-US"/>
              </w:rPr>
            </w:pPr>
            <w:r w:rsidRPr="00C44DC0">
              <w:rPr>
                <w:rFonts w:eastAsia="Calibri"/>
                <w:b/>
                <w:bCs/>
                <w:iCs/>
                <w:color w:val="000000"/>
                <w:lang w:eastAsia="en-US"/>
              </w:rPr>
              <w:t>[</w:t>
            </w:r>
            <w:proofErr w:type="spellStart"/>
            <w:r w:rsidRPr="00C44DC0">
              <w:rPr>
                <w:rFonts w:eastAsia="Calibri"/>
                <w:b/>
                <w:bCs/>
                <w:iCs/>
                <w:color w:val="000000"/>
                <w:lang w:eastAsia="en-US"/>
              </w:rPr>
              <w:t>Cp</w:t>
            </w:r>
            <w:r w:rsidR="00C44DC0">
              <w:rPr>
                <w:rFonts w:eastAsia="Calibri"/>
                <w:b/>
                <w:bCs/>
                <w:iCs/>
                <w:color w:val="000000"/>
                <w:vertAlign w:val="subscript"/>
                <w:lang w:eastAsia="en-US"/>
              </w:rPr>
              <w:t>o</w:t>
            </w:r>
            <w:proofErr w:type="spellEnd"/>
            <w:r w:rsidRPr="00C44DC0">
              <w:rPr>
                <w:rFonts w:eastAsia="Calibri"/>
                <w:b/>
                <w:bCs/>
                <w:iCs/>
                <w:color w:val="000000"/>
                <w:lang w:eastAsia="en-US"/>
              </w:rPr>
              <w:t>(i)]</w:t>
            </w:r>
          </w:p>
        </w:tc>
        <w:tc>
          <w:tcPr>
            <w:tcW w:w="2344" w:type="dxa"/>
            <w:tcBorders>
              <w:top w:val="single" w:sz="4" w:space="0" w:color="auto"/>
              <w:left w:val="nil"/>
              <w:bottom w:val="single" w:sz="4" w:space="0" w:color="auto"/>
              <w:right w:val="single" w:sz="4" w:space="0" w:color="auto"/>
            </w:tcBorders>
            <w:shd w:val="clear" w:color="auto" w:fill="D9D9D9"/>
            <w:noWrap/>
            <w:vAlign w:val="bottom"/>
            <w:hideMark/>
          </w:tcPr>
          <w:p w14:paraId="0FB0D216" w14:textId="77777777" w:rsidR="00BE1E16" w:rsidRPr="00C44DC0" w:rsidRDefault="00BE1E16" w:rsidP="00C44DC0">
            <w:pPr>
              <w:jc w:val="center"/>
              <w:rPr>
                <w:rFonts w:eastAsia="Calibri"/>
                <w:b/>
                <w:bCs/>
                <w:iCs/>
                <w:color w:val="000000"/>
                <w:lang w:eastAsia="en-US"/>
              </w:rPr>
            </w:pPr>
            <w:r w:rsidRPr="00C44DC0">
              <w:rPr>
                <w:rFonts w:eastAsia="Calibri"/>
                <w:b/>
                <w:bCs/>
                <w:iCs/>
                <w:color w:val="000000"/>
                <w:lang w:eastAsia="en-US"/>
              </w:rPr>
              <w:t>Cena opremljanja</w:t>
            </w:r>
          </w:p>
          <w:p w14:paraId="0D78480C" w14:textId="77777777" w:rsidR="00BE1E16" w:rsidRPr="00C44DC0" w:rsidRDefault="00BE1E16" w:rsidP="00C44DC0">
            <w:pPr>
              <w:jc w:val="center"/>
              <w:rPr>
                <w:rFonts w:eastAsia="Calibri"/>
                <w:b/>
                <w:bCs/>
                <w:iCs/>
                <w:color w:val="000000"/>
                <w:lang w:eastAsia="en-US"/>
              </w:rPr>
            </w:pPr>
            <w:r w:rsidRPr="00C44DC0">
              <w:rPr>
                <w:rFonts w:eastAsia="Calibri"/>
                <w:b/>
                <w:bCs/>
                <w:iCs/>
                <w:color w:val="000000"/>
                <w:lang w:eastAsia="en-US"/>
              </w:rPr>
              <w:t>m</w:t>
            </w:r>
            <w:r w:rsidRPr="00C44DC0">
              <w:rPr>
                <w:rFonts w:eastAsia="Calibri"/>
                <w:b/>
                <w:bCs/>
                <w:iCs/>
                <w:color w:val="000000"/>
                <w:vertAlign w:val="superscript"/>
                <w:lang w:eastAsia="en-US"/>
              </w:rPr>
              <w:t>2</w:t>
            </w:r>
            <w:r w:rsidRPr="00C44DC0">
              <w:rPr>
                <w:rFonts w:eastAsia="Calibri"/>
                <w:b/>
                <w:bCs/>
                <w:iCs/>
                <w:color w:val="000000"/>
                <w:lang w:eastAsia="en-US"/>
              </w:rPr>
              <w:t xml:space="preserve"> bruto tlorisne površine objekta </w:t>
            </w:r>
          </w:p>
          <w:p w14:paraId="5A70B4B9" w14:textId="77777777" w:rsidR="00BE1E16" w:rsidRPr="00C44DC0" w:rsidRDefault="00BE1E16" w:rsidP="00C44DC0">
            <w:pPr>
              <w:jc w:val="center"/>
              <w:rPr>
                <w:b/>
                <w:bCs/>
                <w:iCs/>
                <w:lang w:eastAsia="en-US"/>
              </w:rPr>
            </w:pPr>
            <w:r w:rsidRPr="00C44DC0">
              <w:rPr>
                <w:rFonts w:eastAsia="Calibri"/>
                <w:b/>
                <w:bCs/>
                <w:iCs/>
                <w:color w:val="000000"/>
                <w:lang w:eastAsia="en-US"/>
              </w:rPr>
              <w:t>[</w:t>
            </w:r>
            <w:proofErr w:type="spellStart"/>
            <w:r w:rsidRPr="00C44DC0">
              <w:rPr>
                <w:rFonts w:eastAsia="Calibri"/>
                <w:b/>
                <w:bCs/>
                <w:iCs/>
                <w:color w:val="000000"/>
                <w:lang w:eastAsia="en-US"/>
              </w:rPr>
              <w:t>C</w:t>
            </w:r>
            <w:r w:rsidR="00C44DC0" w:rsidRPr="00C44DC0">
              <w:rPr>
                <w:rFonts w:eastAsia="Calibri"/>
                <w:b/>
                <w:bCs/>
                <w:iCs/>
                <w:color w:val="000000"/>
                <w:lang w:eastAsia="en-US"/>
              </w:rPr>
              <w:t>t</w:t>
            </w:r>
            <w:r w:rsidR="00C44DC0" w:rsidRPr="00C44DC0">
              <w:rPr>
                <w:rFonts w:eastAsia="Calibri"/>
                <w:b/>
                <w:bCs/>
                <w:iCs/>
                <w:color w:val="000000"/>
                <w:vertAlign w:val="subscript"/>
                <w:lang w:eastAsia="en-US"/>
              </w:rPr>
              <w:t>o</w:t>
            </w:r>
            <w:proofErr w:type="spellEnd"/>
            <w:r w:rsidR="00C44DC0" w:rsidRPr="00C44DC0">
              <w:rPr>
                <w:rFonts w:eastAsia="Calibri"/>
                <w:b/>
                <w:bCs/>
                <w:iCs/>
                <w:color w:val="000000"/>
                <w:lang w:eastAsia="en-US"/>
              </w:rPr>
              <w:t xml:space="preserve"> </w:t>
            </w:r>
            <w:r w:rsidRPr="00C44DC0">
              <w:rPr>
                <w:rFonts w:eastAsia="Calibri"/>
                <w:b/>
                <w:bCs/>
                <w:iCs/>
                <w:color w:val="000000"/>
                <w:lang w:eastAsia="en-US"/>
              </w:rPr>
              <w:t>(i)]</w:t>
            </w:r>
          </w:p>
        </w:tc>
      </w:tr>
      <w:tr w:rsidR="00BE1E16" w:rsidRPr="00C44DC0" w14:paraId="78C2DF01" w14:textId="77777777" w:rsidTr="00DC0F01">
        <w:trPr>
          <w:trHeight w:val="284"/>
        </w:trPr>
        <w:tc>
          <w:tcPr>
            <w:tcW w:w="594" w:type="dxa"/>
            <w:vMerge/>
            <w:tcBorders>
              <w:left w:val="single" w:sz="4" w:space="0" w:color="auto"/>
              <w:bottom w:val="single" w:sz="4" w:space="0" w:color="auto"/>
              <w:right w:val="single" w:sz="4" w:space="0" w:color="auto"/>
            </w:tcBorders>
            <w:shd w:val="clear" w:color="auto" w:fill="D9D9D9"/>
          </w:tcPr>
          <w:p w14:paraId="022A7718" w14:textId="77777777" w:rsidR="00BE1E16" w:rsidRPr="00C44DC0" w:rsidRDefault="00BE1E16" w:rsidP="00C44DC0">
            <w:pPr>
              <w:rPr>
                <w:lang w:eastAsia="en-US"/>
              </w:rPr>
            </w:pPr>
          </w:p>
        </w:tc>
        <w:tc>
          <w:tcPr>
            <w:tcW w:w="3552" w:type="dxa"/>
            <w:vMerge/>
            <w:tcBorders>
              <w:left w:val="single" w:sz="4" w:space="0" w:color="auto"/>
              <w:bottom w:val="single" w:sz="4" w:space="0" w:color="auto"/>
              <w:right w:val="single" w:sz="4" w:space="0" w:color="auto"/>
            </w:tcBorders>
            <w:shd w:val="clear" w:color="auto" w:fill="D9D9D9"/>
            <w:noWrap/>
            <w:vAlign w:val="bottom"/>
            <w:hideMark/>
          </w:tcPr>
          <w:p w14:paraId="322795A8" w14:textId="77777777" w:rsidR="00BE1E16" w:rsidRPr="00C44DC0" w:rsidRDefault="00BE1E16" w:rsidP="00C44DC0">
            <w:pPr>
              <w:rPr>
                <w:lang w:eastAsia="en-US"/>
              </w:rPr>
            </w:pPr>
          </w:p>
        </w:tc>
        <w:tc>
          <w:tcPr>
            <w:tcW w:w="2344" w:type="dxa"/>
            <w:tcBorders>
              <w:top w:val="nil"/>
              <w:left w:val="nil"/>
              <w:bottom w:val="single" w:sz="4" w:space="0" w:color="auto"/>
              <w:right w:val="single" w:sz="4" w:space="0" w:color="auto"/>
            </w:tcBorders>
            <w:shd w:val="clear" w:color="auto" w:fill="D9D9D9"/>
            <w:noWrap/>
            <w:vAlign w:val="bottom"/>
            <w:hideMark/>
          </w:tcPr>
          <w:p w14:paraId="33A521E1" w14:textId="77777777" w:rsidR="00BE1E16" w:rsidRPr="00C44DC0" w:rsidRDefault="00BE1E16" w:rsidP="00C44DC0">
            <w:pPr>
              <w:jc w:val="center"/>
              <w:rPr>
                <w:b/>
                <w:bCs/>
                <w:iCs/>
                <w:lang w:eastAsia="en-US"/>
              </w:rPr>
            </w:pPr>
            <w:r w:rsidRPr="00C44DC0">
              <w:rPr>
                <w:rFonts w:eastAsia="Calibri"/>
                <w:b/>
                <w:bCs/>
                <w:iCs/>
                <w:color w:val="000000"/>
                <w:lang w:eastAsia="en-US"/>
              </w:rPr>
              <w:t>[</w:t>
            </w:r>
            <w:r w:rsidR="00C44DC0" w:rsidRPr="00C44DC0">
              <w:rPr>
                <w:rFonts w:eastAsia="Calibri"/>
                <w:b/>
                <w:bCs/>
                <w:iCs/>
                <w:color w:val="000000"/>
                <w:lang w:eastAsia="en-US"/>
              </w:rPr>
              <w:t>EUR</w:t>
            </w:r>
            <w:r w:rsidRPr="00C44DC0">
              <w:rPr>
                <w:rFonts w:eastAsia="Calibri"/>
                <w:b/>
                <w:bCs/>
                <w:iCs/>
                <w:color w:val="000000"/>
                <w:lang w:eastAsia="en-US"/>
              </w:rPr>
              <w:t>/m</w:t>
            </w:r>
            <w:r w:rsidRPr="00C44DC0">
              <w:rPr>
                <w:rFonts w:eastAsia="Calibri"/>
                <w:b/>
                <w:bCs/>
                <w:iCs/>
                <w:color w:val="000000"/>
                <w:vertAlign w:val="superscript"/>
                <w:lang w:eastAsia="en-US"/>
              </w:rPr>
              <w:t>2</w:t>
            </w:r>
            <w:r w:rsidRPr="00C44DC0">
              <w:rPr>
                <w:rFonts w:eastAsia="Calibri"/>
                <w:b/>
                <w:bCs/>
                <w:iCs/>
                <w:color w:val="000000"/>
                <w:lang w:eastAsia="en-US"/>
              </w:rPr>
              <w:t>]</w:t>
            </w:r>
          </w:p>
        </w:tc>
        <w:tc>
          <w:tcPr>
            <w:tcW w:w="2344" w:type="dxa"/>
            <w:tcBorders>
              <w:top w:val="nil"/>
              <w:left w:val="nil"/>
              <w:bottom w:val="single" w:sz="4" w:space="0" w:color="auto"/>
              <w:right w:val="single" w:sz="4" w:space="0" w:color="auto"/>
            </w:tcBorders>
            <w:shd w:val="clear" w:color="auto" w:fill="D9D9D9"/>
            <w:noWrap/>
            <w:vAlign w:val="bottom"/>
            <w:hideMark/>
          </w:tcPr>
          <w:p w14:paraId="61118908" w14:textId="77777777" w:rsidR="00BE1E16" w:rsidRPr="00C44DC0" w:rsidRDefault="00BE1E16" w:rsidP="00C44DC0">
            <w:pPr>
              <w:jc w:val="center"/>
              <w:rPr>
                <w:b/>
                <w:bCs/>
                <w:iCs/>
                <w:lang w:eastAsia="en-US"/>
              </w:rPr>
            </w:pPr>
            <w:r w:rsidRPr="00C44DC0">
              <w:rPr>
                <w:rFonts w:eastAsia="Calibri"/>
                <w:b/>
                <w:bCs/>
                <w:iCs/>
                <w:color w:val="000000"/>
                <w:lang w:eastAsia="en-US"/>
              </w:rPr>
              <w:t>[</w:t>
            </w:r>
            <w:r w:rsidR="00C44DC0" w:rsidRPr="00C44DC0">
              <w:rPr>
                <w:rFonts w:eastAsia="Calibri"/>
                <w:b/>
                <w:bCs/>
                <w:iCs/>
                <w:color w:val="000000"/>
                <w:lang w:eastAsia="en-US"/>
              </w:rPr>
              <w:t>EUR</w:t>
            </w:r>
            <w:r w:rsidRPr="00C44DC0">
              <w:rPr>
                <w:rFonts w:eastAsia="Calibri"/>
                <w:b/>
                <w:bCs/>
                <w:iCs/>
                <w:color w:val="000000"/>
                <w:lang w:eastAsia="en-US"/>
              </w:rPr>
              <w:t>/m</w:t>
            </w:r>
            <w:r w:rsidRPr="00C44DC0">
              <w:rPr>
                <w:rFonts w:eastAsia="Calibri"/>
                <w:b/>
                <w:bCs/>
                <w:iCs/>
                <w:color w:val="000000"/>
                <w:vertAlign w:val="superscript"/>
                <w:lang w:eastAsia="en-US"/>
              </w:rPr>
              <w:t>2</w:t>
            </w:r>
            <w:r w:rsidRPr="00C44DC0">
              <w:rPr>
                <w:rFonts w:eastAsia="Calibri"/>
                <w:b/>
                <w:bCs/>
                <w:iCs/>
                <w:color w:val="000000"/>
                <w:lang w:eastAsia="en-US"/>
              </w:rPr>
              <w:t>]</w:t>
            </w:r>
          </w:p>
        </w:tc>
      </w:tr>
      <w:tr w:rsidR="005F5D31" w:rsidRPr="00C44DC0" w14:paraId="5C98B937" w14:textId="77777777" w:rsidTr="003678C6">
        <w:trPr>
          <w:trHeight w:val="356"/>
        </w:trPr>
        <w:tc>
          <w:tcPr>
            <w:tcW w:w="594" w:type="dxa"/>
            <w:tcBorders>
              <w:top w:val="nil"/>
              <w:left w:val="single" w:sz="4" w:space="0" w:color="auto"/>
              <w:bottom w:val="single" w:sz="4" w:space="0" w:color="auto"/>
              <w:right w:val="single" w:sz="4" w:space="0" w:color="auto"/>
            </w:tcBorders>
            <w:vAlign w:val="bottom"/>
          </w:tcPr>
          <w:p w14:paraId="66F2272A" w14:textId="77777777" w:rsidR="005F5D31" w:rsidRPr="00C44DC0" w:rsidRDefault="005F5D31" w:rsidP="005F5D31">
            <w:pPr>
              <w:rPr>
                <w:b/>
                <w:bCs/>
                <w:lang w:eastAsia="en-US"/>
              </w:rPr>
            </w:pPr>
            <w:r w:rsidRPr="00C44DC0">
              <w:rPr>
                <w:rFonts w:eastAsia="Calibri"/>
                <w:color w:val="000000"/>
                <w:lang w:eastAsia="en-US"/>
              </w:rPr>
              <w:t>1.</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72D5758F" w14:textId="77777777" w:rsidR="005F5D31" w:rsidRPr="00C44DC0" w:rsidRDefault="005F5D31" w:rsidP="005F5D31">
            <w:pPr>
              <w:rPr>
                <w:b/>
                <w:bCs/>
                <w:lang w:eastAsia="en-US"/>
              </w:rPr>
            </w:pPr>
            <w:r w:rsidRPr="00C44DC0">
              <w:rPr>
                <w:rFonts w:eastAsia="Calibri"/>
                <w:color w:val="000000"/>
                <w:lang w:eastAsia="en-US"/>
              </w:rPr>
              <w:t>Cestno omrežje</w:t>
            </w:r>
          </w:p>
        </w:tc>
        <w:tc>
          <w:tcPr>
            <w:tcW w:w="2344" w:type="dxa"/>
            <w:tcBorders>
              <w:top w:val="nil"/>
              <w:left w:val="nil"/>
              <w:bottom w:val="single" w:sz="4" w:space="0" w:color="auto"/>
              <w:right w:val="single" w:sz="4" w:space="0" w:color="auto"/>
            </w:tcBorders>
            <w:shd w:val="clear" w:color="auto" w:fill="auto"/>
            <w:noWrap/>
          </w:tcPr>
          <w:p w14:paraId="020BE018" w14:textId="67AAB18E" w:rsidR="005F5D31" w:rsidRPr="00C44DC0" w:rsidRDefault="003138AF" w:rsidP="005F5D31">
            <w:pPr>
              <w:ind w:right="816"/>
              <w:jc w:val="right"/>
              <w:rPr>
                <w:b/>
                <w:bCs/>
                <w:lang w:eastAsia="en-US"/>
              </w:rPr>
            </w:pPr>
            <w:r>
              <w:t>17,50</w:t>
            </w:r>
          </w:p>
        </w:tc>
        <w:tc>
          <w:tcPr>
            <w:tcW w:w="2344" w:type="dxa"/>
            <w:tcBorders>
              <w:top w:val="nil"/>
              <w:left w:val="nil"/>
              <w:bottom w:val="single" w:sz="4" w:space="0" w:color="auto"/>
              <w:right w:val="single" w:sz="4" w:space="0" w:color="auto"/>
            </w:tcBorders>
            <w:shd w:val="clear" w:color="auto" w:fill="auto"/>
            <w:noWrap/>
          </w:tcPr>
          <w:p w14:paraId="1CA0B6FD" w14:textId="654F3CF8" w:rsidR="005F5D31" w:rsidRPr="00C44DC0" w:rsidRDefault="003138AF" w:rsidP="005F5D31">
            <w:pPr>
              <w:ind w:right="751"/>
              <w:jc w:val="right"/>
              <w:rPr>
                <w:b/>
                <w:bCs/>
                <w:lang w:eastAsia="en-US"/>
              </w:rPr>
            </w:pPr>
            <w:r>
              <w:t>48</w:t>
            </w:r>
            <w:r w:rsidR="005F5D31" w:rsidRPr="0024247D">
              <w:t>,</w:t>
            </w:r>
            <w:r>
              <w:t>00</w:t>
            </w:r>
          </w:p>
        </w:tc>
      </w:tr>
      <w:tr w:rsidR="005F5D31" w:rsidRPr="00C44DC0" w14:paraId="7FF4D5B9" w14:textId="77777777" w:rsidTr="003678C6">
        <w:trPr>
          <w:trHeight w:val="356"/>
        </w:trPr>
        <w:tc>
          <w:tcPr>
            <w:tcW w:w="594" w:type="dxa"/>
            <w:tcBorders>
              <w:top w:val="nil"/>
              <w:left w:val="single" w:sz="4" w:space="0" w:color="auto"/>
              <w:bottom w:val="single" w:sz="4" w:space="0" w:color="auto"/>
              <w:right w:val="single" w:sz="4" w:space="0" w:color="auto"/>
            </w:tcBorders>
            <w:vAlign w:val="bottom"/>
          </w:tcPr>
          <w:p w14:paraId="6A065163" w14:textId="77777777" w:rsidR="005F5D31" w:rsidRPr="00C44DC0" w:rsidRDefault="005F5D31" w:rsidP="005F5D31">
            <w:pPr>
              <w:rPr>
                <w:b/>
                <w:bCs/>
                <w:lang w:eastAsia="en-US"/>
              </w:rPr>
            </w:pPr>
            <w:r w:rsidRPr="00C44DC0">
              <w:rPr>
                <w:rFonts w:eastAsia="Calibri"/>
                <w:color w:val="000000"/>
                <w:lang w:eastAsia="en-US"/>
              </w:rPr>
              <w:t>2.</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0F6D3E13" w14:textId="77777777" w:rsidR="005F5D31" w:rsidRPr="00C44DC0" w:rsidRDefault="005F5D31" w:rsidP="005F5D31">
            <w:pPr>
              <w:rPr>
                <w:b/>
                <w:bCs/>
                <w:lang w:eastAsia="en-US"/>
              </w:rPr>
            </w:pPr>
            <w:r w:rsidRPr="00C44DC0">
              <w:rPr>
                <w:rFonts w:eastAsia="Calibri"/>
                <w:color w:val="000000"/>
                <w:lang w:eastAsia="en-US"/>
              </w:rPr>
              <w:t>Vodovodno omrežje</w:t>
            </w:r>
          </w:p>
        </w:tc>
        <w:tc>
          <w:tcPr>
            <w:tcW w:w="2344" w:type="dxa"/>
            <w:tcBorders>
              <w:top w:val="nil"/>
              <w:left w:val="nil"/>
              <w:bottom w:val="single" w:sz="4" w:space="0" w:color="auto"/>
              <w:right w:val="single" w:sz="4" w:space="0" w:color="auto"/>
            </w:tcBorders>
            <w:shd w:val="clear" w:color="auto" w:fill="auto"/>
            <w:noWrap/>
          </w:tcPr>
          <w:p w14:paraId="6CF32316" w14:textId="6C6AA492" w:rsidR="005F5D31" w:rsidRPr="00C44DC0" w:rsidRDefault="003138AF" w:rsidP="005F5D31">
            <w:pPr>
              <w:ind w:right="816"/>
              <w:jc w:val="right"/>
              <w:rPr>
                <w:b/>
                <w:bCs/>
                <w:lang w:eastAsia="en-US"/>
              </w:rPr>
            </w:pPr>
            <w:r>
              <w:t>6</w:t>
            </w:r>
            <w:r w:rsidR="005F5D31" w:rsidRPr="0024247D">
              <w:t>,</w:t>
            </w:r>
            <w:r>
              <w:t>50</w:t>
            </w:r>
          </w:p>
        </w:tc>
        <w:tc>
          <w:tcPr>
            <w:tcW w:w="2344" w:type="dxa"/>
            <w:tcBorders>
              <w:top w:val="nil"/>
              <w:left w:val="nil"/>
              <w:bottom w:val="single" w:sz="4" w:space="0" w:color="auto"/>
              <w:right w:val="single" w:sz="4" w:space="0" w:color="auto"/>
            </w:tcBorders>
            <w:shd w:val="clear" w:color="auto" w:fill="auto"/>
            <w:noWrap/>
          </w:tcPr>
          <w:p w14:paraId="4695E812" w14:textId="028FE0DF" w:rsidR="005F5D31" w:rsidRPr="00C44DC0" w:rsidRDefault="003138AF" w:rsidP="005F5D31">
            <w:pPr>
              <w:ind w:right="751"/>
              <w:jc w:val="right"/>
              <w:rPr>
                <w:b/>
                <w:bCs/>
                <w:lang w:eastAsia="en-US"/>
              </w:rPr>
            </w:pPr>
            <w:r>
              <w:t>17</w:t>
            </w:r>
            <w:r w:rsidR="005F5D31" w:rsidRPr="0024247D">
              <w:t>,</w:t>
            </w:r>
            <w:r>
              <w:t>00</w:t>
            </w:r>
          </w:p>
        </w:tc>
      </w:tr>
      <w:tr w:rsidR="005F5D31" w:rsidRPr="00C44DC0" w14:paraId="1F60ED2A" w14:textId="77777777" w:rsidTr="003678C6">
        <w:trPr>
          <w:trHeight w:val="356"/>
        </w:trPr>
        <w:tc>
          <w:tcPr>
            <w:tcW w:w="594" w:type="dxa"/>
            <w:tcBorders>
              <w:top w:val="nil"/>
              <w:left w:val="single" w:sz="4" w:space="0" w:color="auto"/>
              <w:bottom w:val="single" w:sz="4" w:space="0" w:color="auto"/>
              <w:right w:val="single" w:sz="4" w:space="0" w:color="auto"/>
            </w:tcBorders>
            <w:vAlign w:val="bottom"/>
          </w:tcPr>
          <w:p w14:paraId="6EB81C94" w14:textId="77777777" w:rsidR="005F5D31" w:rsidRPr="00C44DC0" w:rsidRDefault="005F5D31" w:rsidP="005F5D31">
            <w:pPr>
              <w:rPr>
                <w:b/>
                <w:bCs/>
                <w:lang w:eastAsia="en-US"/>
              </w:rPr>
            </w:pPr>
            <w:r w:rsidRPr="00C44DC0">
              <w:rPr>
                <w:rFonts w:eastAsia="Calibri"/>
                <w:color w:val="000000"/>
                <w:lang w:eastAsia="en-US"/>
              </w:rPr>
              <w:t>3.</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282D5C11" w14:textId="77777777" w:rsidR="005F5D31" w:rsidRPr="00C44DC0" w:rsidRDefault="005F5D31" w:rsidP="005F5D31">
            <w:pPr>
              <w:rPr>
                <w:b/>
                <w:bCs/>
                <w:lang w:eastAsia="en-US"/>
              </w:rPr>
            </w:pPr>
            <w:r w:rsidRPr="00C44DC0">
              <w:rPr>
                <w:rFonts w:eastAsia="Calibri"/>
                <w:color w:val="000000"/>
                <w:lang w:eastAsia="en-US"/>
              </w:rPr>
              <w:t>Kanalizacijsko omrežje</w:t>
            </w:r>
          </w:p>
        </w:tc>
        <w:tc>
          <w:tcPr>
            <w:tcW w:w="2344" w:type="dxa"/>
            <w:tcBorders>
              <w:top w:val="nil"/>
              <w:left w:val="nil"/>
              <w:bottom w:val="single" w:sz="4" w:space="0" w:color="auto"/>
              <w:right w:val="single" w:sz="4" w:space="0" w:color="auto"/>
            </w:tcBorders>
            <w:shd w:val="clear" w:color="auto" w:fill="auto"/>
            <w:noWrap/>
          </w:tcPr>
          <w:p w14:paraId="6F31CD38" w14:textId="096F4EA8" w:rsidR="005F5D31" w:rsidRPr="00C44DC0" w:rsidRDefault="00DA691D" w:rsidP="005F5D31">
            <w:pPr>
              <w:ind w:right="816"/>
              <w:jc w:val="right"/>
              <w:rPr>
                <w:b/>
                <w:bCs/>
                <w:lang w:eastAsia="en-US"/>
              </w:rPr>
            </w:pPr>
            <w:r>
              <w:t>5,40</w:t>
            </w:r>
          </w:p>
        </w:tc>
        <w:tc>
          <w:tcPr>
            <w:tcW w:w="2344" w:type="dxa"/>
            <w:tcBorders>
              <w:top w:val="nil"/>
              <w:left w:val="nil"/>
              <w:bottom w:val="single" w:sz="4" w:space="0" w:color="auto"/>
              <w:right w:val="single" w:sz="4" w:space="0" w:color="auto"/>
            </w:tcBorders>
            <w:shd w:val="clear" w:color="auto" w:fill="auto"/>
            <w:noWrap/>
          </w:tcPr>
          <w:p w14:paraId="649ABD66" w14:textId="72B41AA2" w:rsidR="005F5D31" w:rsidRPr="00C44DC0" w:rsidRDefault="00DA691D" w:rsidP="005F5D31">
            <w:pPr>
              <w:ind w:right="751"/>
              <w:jc w:val="right"/>
              <w:rPr>
                <w:b/>
                <w:bCs/>
                <w:lang w:eastAsia="en-US"/>
              </w:rPr>
            </w:pPr>
            <w:r>
              <w:t>11,00</w:t>
            </w:r>
          </w:p>
        </w:tc>
      </w:tr>
      <w:tr w:rsidR="005F5D31" w:rsidRPr="00C44DC0" w14:paraId="4BB6EE78" w14:textId="77777777" w:rsidTr="003678C6">
        <w:trPr>
          <w:trHeight w:val="356"/>
        </w:trPr>
        <w:tc>
          <w:tcPr>
            <w:tcW w:w="594" w:type="dxa"/>
            <w:tcBorders>
              <w:top w:val="nil"/>
              <w:left w:val="single" w:sz="4" w:space="0" w:color="auto"/>
              <w:bottom w:val="single" w:sz="4" w:space="0" w:color="auto"/>
              <w:right w:val="single" w:sz="4" w:space="0" w:color="auto"/>
            </w:tcBorders>
            <w:vAlign w:val="bottom"/>
          </w:tcPr>
          <w:p w14:paraId="64772871" w14:textId="77777777" w:rsidR="005F5D31" w:rsidRPr="00C44DC0" w:rsidRDefault="005F5D31" w:rsidP="005F5D31">
            <w:pPr>
              <w:rPr>
                <w:b/>
                <w:bCs/>
                <w:lang w:eastAsia="en-US"/>
              </w:rPr>
            </w:pPr>
            <w:r w:rsidRPr="00C44DC0">
              <w:rPr>
                <w:rFonts w:eastAsia="Calibri"/>
                <w:color w:val="000000"/>
                <w:lang w:eastAsia="en-US"/>
              </w:rPr>
              <w:t>4.</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4A575C21" w14:textId="596CC33A" w:rsidR="005F5D31" w:rsidRPr="00C44DC0" w:rsidRDefault="003138AF" w:rsidP="005F5D31">
            <w:pPr>
              <w:rPr>
                <w:b/>
                <w:bCs/>
                <w:lang w:eastAsia="en-US"/>
              </w:rPr>
            </w:pPr>
            <w:r>
              <w:rPr>
                <w:rFonts w:eastAsia="Calibri"/>
                <w:color w:val="000000"/>
                <w:lang w:eastAsia="en-US"/>
              </w:rPr>
              <w:t>Javne površine</w:t>
            </w:r>
            <w:r w:rsidR="005F5D31" w:rsidRPr="00C44DC0">
              <w:rPr>
                <w:rFonts w:eastAsia="Calibri"/>
                <w:color w:val="000000"/>
                <w:lang w:eastAsia="en-US"/>
              </w:rPr>
              <w:t xml:space="preserve"> </w:t>
            </w:r>
          </w:p>
        </w:tc>
        <w:tc>
          <w:tcPr>
            <w:tcW w:w="2344" w:type="dxa"/>
            <w:tcBorders>
              <w:top w:val="nil"/>
              <w:left w:val="nil"/>
              <w:bottom w:val="single" w:sz="4" w:space="0" w:color="auto"/>
              <w:right w:val="single" w:sz="4" w:space="0" w:color="auto"/>
            </w:tcBorders>
            <w:shd w:val="clear" w:color="auto" w:fill="auto"/>
            <w:noWrap/>
          </w:tcPr>
          <w:p w14:paraId="1476391B" w14:textId="1F1899CD" w:rsidR="005F5D31" w:rsidRPr="00C44DC0" w:rsidRDefault="005F5D31" w:rsidP="005F5D31">
            <w:pPr>
              <w:ind w:right="816"/>
              <w:jc w:val="right"/>
              <w:rPr>
                <w:b/>
                <w:bCs/>
                <w:lang w:eastAsia="en-US"/>
              </w:rPr>
            </w:pPr>
            <w:r w:rsidRPr="0024247D">
              <w:t>0,</w:t>
            </w:r>
            <w:r w:rsidR="003138AF">
              <w:t>70</w:t>
            </w:r>
          </w:p>
        </w:tc>
        <w:tc>
          <w:tcPr>
            <w:tcW w:w="2344" w:type="dxa"/>
            <w:tcBorders>
              <w:top w:val="nil"/>
              <w:left w:val="nil"/>
              <w:bottom w:val="single" w:sz="4" w:space="0" w:color="auto"/>
              <w:right w:val="single" w:sz="4" w:space="0" w:color="auto"/>
            </w:tcBorders>
            <w:shd w:val="clear" w:color="auto" w:fill="auto"/>
            <w:noWrap/>
          </w:tcPr>
          <w:p w14:paraId="16796F7E" w14:textId="6FEDECF6" w:rsidR="005F5D31" w:rsidRPr="00C44DC0" w:rsidRDefault="003138AF" w:rsidP="005F5D31">
            <w:pPr>
              <w:ind w:right="751"/>
              <w:jc w:val="right"/>
              <w:rPr>
                <w:b/>
                <w:bCs/>
                <w:lang w:eastAsia="en-US"/>
              </w:rPr>
            </w:pPr>
            <w:r>
              <w:t>2</w:t>
            </w:r>
            <w:r w:rsidR="005F5D31" w:rsidRPr="0024247D">
              <w:t>,</w:t>
            </w:r>
            <w:r>
              <w:t>00</w:t>
            </w:r>
          </w:p>
        </w:tc>
      </w:tr>
      <w:tr w:rsidR="005F5D31" w:rsidRPr="00C44DC0" w14:paraId="64C32898" w14:textId="77777777" w:rsidTr="003678C6">
        <w:trPr>
          <w:trHeight w:val="356"/>
        </w:trPr>
        <w:tc>
          <w:tcPr>
            <w:tcW w:w="594" w:type="dxa"/>
            <w:tcBorders>
              <w:top w:val="single" w:sz="4" w:space="0" w:color="auto"/>
              <w:left w:val="single" w:sz="4" w:space="0" w:color="auto"/>
              <w:bottom w:val="single" w:sz="4" w:space="0" w:color="auto"/>
              <w:right w:val="single" w:sz="4" w:space="0" w:color="auto"/>
            </w:tcBorders>
            <w:shd w:val="clear" w:color="auto" w:fill="D9D9D9"/>
            <w:vAlign w:val="bottom"/>
          </w:tcPr>
          <w:p w14:paraId="3E5E0351" w14:textId="77777777" w:rsidR="005F5D31" w:rsidRPr="00C44DC0" w:rsidRDefault="005F5D31" w:rsidP="005F5D31">
            <w:pPr>
              <w:rPr>
                <w:rFonts w:eastAsia="Calibri"/>
                <w:b/>
                <w:bCs/>
                <w:color w:val="000000"/>
                <w:lang w:eastAsia="en-US"/>
              </w:rPr>
            </w:pPr>
          </w:p>
        </w:tc>
        <w:tc>
          <w:tcPr>
            <w:tcW w:w="3552"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7B20B46" w14:textId="77777777" w:rsidR="005F5D31" w:rsidRPr="00C44DC0" w:rsidRDefault="005F5D31" w:rsidP="005F5D31">
            <w:pPr>
              <w:rPr>
                <w:rFonts w:eastAsia="Calibri"/>
                <w:b/>
                <w:bCs/>
                <w:color w:val="000000"/>
                <w:lang w:eastAsia="en-US"/>
              </w:rPr>
            </w:pPr>
            <w:r w:rsidRPr="00C44DC0">
              <w:rPr>
                <w:rFonts w:eastAsia="Calibri"/>
                <w:b/>
                <w:bCs/>
                <w:color w:val="000000"/>
                <w:lang w:eastAsia="en-US"/>
              </w:rPr>
              <w:t>SKUPAJ</w:t>
            </w:r>
          </w:p>
        </w:tc>
        <w:tc>
          <w:tcPr>
            <w:tcW w:w="2344" w:type="dxa"/>
            <w:tcBorders>
              <w:top w:val="single" w:sz="4" w:space="0" w:color="auto"/>
              <w:left w:val="nil"/>
              <w:bottom w:val="single" w:sz="4" w:space="0" w:color="auto"/>
              <w:right w:val="single" w:sz="4" w:space="0" w:color="auto"/>
            </w:tcBorders>
            <w:shd w:val="clear" w:color="auto" w:fill="D9D9D9"/>
            <w:noWrap/>
          </w:tcPr>
          <w:p w14:paraId="446755E5" w14:textId="0EACFB61" w:rsidR="005F5D31" w:rsidRPr="00314641" w:rsidRDefault="005741B0" w:rsidP="005F5D31">
            <w:pPr>
              <w:ind w:right="816"/>
              <w:jc w:val="right"/>
              <w:rPr>
                <w:b/>
                <w:bCs/>
                <w:lang w:eastAsia="en-US"/>
              </w:rPr>
            </w:pPr>
            <w:r>
              <w:rPr>
                <w:b/>
                <w:bCs/>
                <w:lang w:eastAsia="en-US"/>
              </w:rPr>
              <w:t>30</w:t>
            </w:r>
            <w:r w:rsidR="002A5439">
              <w:rPr>
                <w:b/>
                <w:bCs/>
                <w:lang w:eastAsia="en-US"/>
              </w:rPr>
              <w:t>,</w:t>
            </w:r>
            <w:r>
              <w:rPr>
                <w:b/>
                <w:bCs/>
                <w:lang w:eastAsia="en-US"/>
              </w:rPr>
              <w:t>1</w:t>
            </w:r>
            <w:r w:rsidR="002A5439">
              <w:rPr>
                <w:b/>
                <w:bCs/>
                <w:lang w:eastAsia="en-US"/>
              </w:rPr>
              <w:t>0</w:t>
            </w:r>
          </w:p>
        </w:tc>
        <w:tc>
          <w:tcPr>
            <w:tcW w:w="2344" w:type="dxa"/>
            <w:tcBorders>
              <w:top w:val="single" w:sz="4" w:space="0" w:color="auto"/>
              <w:left w:val="nil"/>
              <w:bottom w:val="single" w:sz="4" w:space="0" w:color="auto"/>
              <w:right w:val="single" w:sz="4" w:space="0" w:color="auto"/>
            </w:tcBorders>
            <w:shd w:val="clear" w:color="auto" w:fill="D9D9D9"/>
            <w:noWrap/>
          </w:tcPr>
          <w:p w14:paraId="4B570762" w14:textId="00D588FB" w:rsidR="005F5D31" w:rsidRPr="002A5439" w:rsidRDefault="005F5D31" w:rsidP="005F5D31">
            <w:pPr>
              <w:ind w:right="751"/>
              <w:jc w:val="right"/>
              <w:rPr>
                <w:b/>
                <w:bCs/>
                <w:lang w:eastAsia="en-US"/>
              </w:rPr>
            </w:pPr>
            <w:r w:rsidRPr="002A5439">
              <w:rPr>
                <w:b/>
                <w:bCs/>
              </w:rPr>
              <w:t>7</w:t>
            </w:r>
            <w:r w:rsidR="005741B0">
              <w:rPr>
                <w:b/>
                <w:bCs/>
              </w:rPr>
              <w:t>8</w:t>
            </w:r>
            <w:r w:rsidRPr="002A5439">
              <w:rPr>
                <w:b/>
                <w:bCs/>
              </w:rPr>
              <w:t>,</w:t>
            </w:r>
            <w:r w:rsidR="002A5439" w:rsidRPr="002A5439">
              <w:rPr>
                <w:b/>
                <w:bCs/>
              </w:rPr>
              <w:t>00</w:t>
            </w:r>
          </w:p>
        </w:tc>
      </w:tr>
    </w:tbl>
    <w:p w14:paraId="4CD6D297" w14:textId="77777777" w:rsidR="003138AF" w:rsidRPr="00C44DC0" w:rsidRDefault="003138AF" w:rsidP="00C44DC0">
      <w:pPr>
        <w:rPr>
          <w:rFonts w:eastAsia="Calibri"/>
          <w:color w:val="FF0000"/>
          <w:lang w:eastAsia="en-US"/>
        </w:rPr>
      </w:pPr>
    </w:p>
    <w:p w14:paraId="4E634B2F" w14:textId="77777777" w:rsidR="00C359A6" w:rsidRDefault="00C359A6" w:rsidP="00C44DC0">
      <w:pPr>
        <w:jc w:val="center"/>
        <w:rPr>
          <w:rFonts w:eastAsia="Calibri"/>
          <w:b/>
          <w:bCs/>
          <w:shd w:val="clear" w:color="auto" w:fill="FFFFFF"/>
          <w:lang w:eastAsia="en-US"/>
        </w:rPr>
      </w:pPr>
    </w:p>
    <w:p w14:paraId="5248305A" w14:textId="03E2C83A" w:rsidR="00BE1E16" w:rsidRPr="00C44DC0" w:rsidRDefault="00AF59E7" w:rsidP="00C44DC0">
      <w:pPr>
        <w:jc w:val="center"/>
        <w:rPr>
          <w:rFonts w:eastAsia="Calibri"/>
          <w:b/>
          <w:bCs/>
          <w:shd w:val="clear" w:color="auto" w:fill="FFFFFF"/>
          <w:lang w:eastAsia="en-US"/>
        </w:rPr>
      </w:pPr>
      <w:r>
        <w:rPr>
          <w:rFonts w:eastAsia="Calibri"/>
          <w:b/>
          <w:bCs/>
          <w:shd w:val="clear" w:color="auto" w:fill="FFFFFF"/>
          <w:lang w:eastAsia="en-US"/>
        </w:rPr>
        <w:t>6</w:t>
      </w:r>
      <w:r w:rsidR="00BE1E16" w:rsidRPr="00C44DC0">
        <w:rPr>
          <w:rFonts w:eastAsia="Calibri"/>
          <w:b/>
          <w:bCs/>
          <w:shd w:val="clear" w:color="auto" w:fill="FFFFFF"/>
          <w:lang w:eastAsia="en-US"/>
        </w:rPr>
        <w:t>. člen</w:t>
      </w:r>
    </w:p>
    <w:p w14:paraId="3673C436" w14:textId="77777777"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(razmerje med deležem gradbene parcele stavbe in deležem površine objekta</w:t>
      </w:r>
      <w:r w:rsidR="00C44DC0">
        <w:rPr>
          <w:rFonts w:eastAsia="Calibri"/>
          <w:b/>
          <w:bCs/>
          <w:shd w:val="clear" w:color="auto" w:fill="FFFFFF"/>
          <w:lang w:eastAsia="en-US"/>
        </w:rPr>
        <w:t>)</w:t>
      </w:r>
    </w:p>
    <w:p w14:paraId="123B2B74" w14:textId="77777777" w:rsidR="00BE1E16" w:rsidRPr="00FD4734" w:rsidRDefault="00BE1E16" w:rsidP="00C44DC0">
      <w:pPr>
        <w:jc w:val="center"/>
        <w:rPr>
          <w:rFonts w:eastAsia="Calibri"/>
          <w:shd w:val="clear" w:color="auto" w:fill="FFFFFF"/>
          <w:lang w:eastAsia="en-US"/>
        </w:rPr>
      </w:pPr>
    </w:p>
    <w:p w14:paraId="02FEC0D5" w14:textId="690317BF" w:rsidR="00BE1E16" w:rsidRPr="00111E29" w:rsidRDefault="00BE1E16" w:rsidP="00111E29">
      <w:pPr>
        <w:jc w:val="both"/>
        <w:rPr>
          <w:rFonts w:eastAsia="Calibri"/>
          <w:shd w:val="clear" w:color="auto" w:fill="FFFFFF"/>
          <w:lang w:eastAsia="en-US"/>
        </w:rPr>
      </w:pPr>
      <w:r w:rsidRPr="00111E29">
        <w:rPr>
          <w:rFonts w:eastAsia="Calibri"/>
          <w:shd w:val="clear" w:color="auto" w:fill="FFFFFF"/>
          <w:lang w:eastAsia="en-US"/>
        </w:rPr>
        <w:t>Razmerje med deležem gradbene parcele stavbe (</w:t>
      </w:r>
      <w:proofErr w:type="spellStart"/>
      <w:r w:rsidRPr="00111E29">
        <w:rPr>
          <w:rFonts w:eastAsia="Calibri"/>
          <w:shd w:val="clear" w:color="auto" w:fill="FFFFFF"/>
          <w:lang w:eastAsia="en-US"/>
        </w:rPr>
        <w:t>Dp</w:t>
      </w:r>
      <w:r w:rsidRPr="00111E29">
        <w:rPr>
          <w:rFonts w:eastAsia="Calibri"/>
          <w:shd w:val="clear" w:color="auto" w:fill="FFFFFF"/>
          <w:vertAlign w:val="subscript"/>
          <w:lang w:eastAsia="en-US"/>
        </w:rPr>
        <w:t>o</w:t>
      </w:r>
      <w:proofErr w:type="spellEnd"/>
      <w:r w:rsidRPr="00111E29">
        <w:rPr>
          <w:rFonts w:eastAsia="Calibri"/>
          <w:shd w:val="clear" w:color="auto" w:fill="FFFFFF"/>
          <w:lang w:eastAsia="en-US"/>
        </w:rPr>
        <w:t>) in deležem površine objekta (</w:t>
      </w:r>
      <w:proofErr w:type="spellStart"/>
      <w:r w:rsidRPr="00111E29">
        <w:rPr>
          <w:rFonts w:eastAsia="Calibri"/>
          <w:shd w:val="clear" w:color="auto" w:fill="FFFFFF"/>
          <w:lang w:eastAsia="en-US"/>
        </w:rPr>
        <w:t>Dt</w:t>
      </w:r>
      <w:r w:rsidR="00C44DC0" w:rsidRPr="00111E29">
        <w:rPr>
          <w:rFonts w:eastAsia="Calibri"/>
          <w:shd w:val="clear" w:color="auto" w:fill="FFFFFF"/>
          <w:vertAlign w:val="subscript"/>
          <w:lang w:eastAsia="en-US"/>
        </w:rPr>
        <w:t>o</w:t>
      </w:r>
      <w:proofErr w:type="spellEnd"/>
      <w:r w:rsidRPr="00111E29">
        <w:rPr>
          <w:rFonts w:eastAsia="Calibri"/>
          <w:shd w:val="clear" w:color="auto" w:fill="FFFFFF"/>
          <w:lang w:eastAsia="en-US"/>
        </w:rPr>
        <w:t>), ki se upošteva pri izračunu komunalnega prispevka za obstoječo komunalno opremo, je 0,</w:t>
      </w:r>
      <w:r w:rsidR="007956BA" w:rsidRPr="00111E29">
        <w:rPr>
          <w:rFonts w:eastAsia="Calibri"/>
          <w:shd w:val="clear" w:color="auto" w:fill="FFFFFF"/>
          <w:lang w:eastAsia="en-US"/>
        </w:rPr>
        <w:t>5</w:t>
      </w:r>
      <w:r w:rsidRPr="00111E29">
        <w:rPr>
          <w:rFonts w:eastAsia="Calibri"/>
          <w:shd w:val="clear" w:color="auto" w:fill="FFFFFF"/>
          <w:lang w:eastAsia="en-US"/>
        </w:rPr>
        <w:t>0:0,</w:t>
      </w:r>
      <w:r w:rsidR="007956BA" w:rsidRPr="00111E29">
        <w:rPr>
          <w:rFonts w:eastAsia="Calibri"/>
          <w:shd w:val="clear" w:color="auto" w:fill="FFFFFF"/>
          <w:lang w:eastAsia="en-US"/>
        </w:rPr>
        <w:t>5</w:t>
      </w:r>
      <w:r w:rsidRPr="00111E29">
        <w:rPr>
          <w:rFonts w:eastAsia="Calibri"/>
          <w:shd w:val="clear" w:color="auto" w:fill="FFFFFF"/>
          <w:lang w:eastAsia="en-US"/>
        </w:rPr>
        <w:t>0 (</w:t>
      </w:r>
      <w:proofErr w:type="spellStart"/>
      <w:r w:rsidRPr="00111E29">
        <w:rPr>
          <w:rFonts w:eastAsia="Calibri"/>
          <w:shd w:val="clear" w:color="auto" w:fill="FFFFFF"/>
          <w:lang w:eastAsia="en-US"/>
        </w:rPr>
        <w:t>Dp</w:t>
      </w:r>
      <w:r w:rsidRPr="00111E29">
        <w:rPr>
          <w:rFonts w:eastAsia="Calibri"/>
          <w:shd w:val="clear" w:color="auto" w:fill="FFFFFF"/>
          <w:vertAlign w:val="subscript"/>
          <w:lang w:eastAsia="en-US"/>
        </w:rPr>
        <w:t>o</w:t>
      </w:r>
      <w:proofErr w:type="spellEnd"/>
      <w:r w:rsidRPr="00111E29">
        <w:rPr>
          <w:rFonts w:eastAsia="Calibri"/>
          <w:shd w:val="clear" w:color="auto" w:fill="FFFFFF"/>
          <w:vertAlign w:val="subscript"/>
          <w:lang w:eastAsia="en-US"/>
        </w:rPr>
        <w:t xml:space="preserve"> </w:t>
      </w:r>
      <w:r w:rsidRPr="00111E29">
        <w:rPr>
          <w:rFonts w:eastAsia="Calibri"/>
          <w:shd w:val="clear" w:color="auto" w:fill="FFFFFF"/>
          <w:lang w:eastAsia="en-US"/>
        </w:rPr>
        <w:t xml:space="preserve">: </w:t>
      </w:r>
      <w:proofErr w:type="spellStart"/>
      <w:r w:rsidRPr="00111E29">
        <w:rPr>
          <w:rFonts w:eastAsia="Calibri"/>
          <w:shd w:val="clear" w:color="auto" w:fill="FFFFFF"/>
          <w:lang w:eastAsia="en-US"/>
        </w:rPr>
        <w:t>Dt</w:t>
      </w:r>
      <w:r w:rsidRPr="00111E29">
        <w:rPr>
          <w:rFonts w:eastAsia="Calibri"/>
          <w:shd w:val="clear" w:color="auto" w:fill="FFFFFF"/>
          <w:vertAlign w:val="subscript"/>
          <w:lang w:eastAsia="en-US"/>
        </w:rPr>
        <w:t>o</w:t>
      </w:r>
      <w:proofErr w:type="spellEnd"/>
      <w:r w:rsidRPr="00111E29">
        <w:rPr>
          <w:rFonts w:eastAsia="Calibri"/>
          <w:shd w:val="clear" w:color="auto" w:fill="FFFFFF"/>
          <w:lang w:eastAsia="en-US"/>
        </w:rPr>
        <w:t>).</w:t>
      </w:r>
    </w:p>
    <w:p w14:paraId="02386DFF" w14:textId="77777777" w:rsidR="00BE1E16" w:rsidRPr="00C44DC0" w:rsidRDefault="00BE1E16" w:rsidP="00C44DC0">
      <w:pPr>
        <w:rPr>
          <w:rFonts w:eastAsia="Calibri"/>
          <w:color w:val="FF0000"/>
          <w:lang w:eastAsia="en-US"/>
        </w:rPr>
      </w:pPr>
    </w:p>
    <w:p w14:paraId="49E06F1C" w14:textId="49E5A5E3" w:rsidR="00BE1E16" w:rsidRPr="00C44DC0" w:rsidRDefault="0002627E" w:rsidP="00C44DC0">
      <w:pPr>
        <w:jc w:val="center"/>
        <w:rPr>
          <w:rFonts w:eastAsia="Calibri"/>
          <w:b/>
          <w:bCs/>
          <w:shd w:val="clear" w:color="auto" w:fill="FFFFFF"/>
          <w:lang w:eastAsia="en-US"/>
        </w:rPr>
      </w:pPr>
      <w:r>
        <w:rPr>
          <w:rFonts w:eastAsia="Calibri"/>
          <w:b/>
          <w:bCs/>
          <w:shd w:val="clear" w:color="auto" w:fill="FFFFFF"/>
          <w:lang w:eastAsia="en-US"/>
        </w:rPr>
        <w:t>7</w:t>
      </w:r>
      <w:r w:rsidR="00BE1E16" w:rsidRPr="00C44DC0">
        <w:rPr>
          <w:rFonts w:eastAsia="Calibri"/>
          <w:b/>
          <w:bCs/>
          <w:shd w:val="clear" w:color="auto" w:fill="FFFFFF"/>
          <w:lang w:eastAsia="en-US"/>
        </w:rPr>
        <w:t>. člen</w:t>
      </w:r>
    </w:p>
    <w:p w14:paraId="42135ABC" w14:textId="77777777" w:rsidR="00BE1E16" w:rsidRPr="00C44DC0" w:rsidRDefault="00BE1E16" w:rsidP="00C44DC0">
      <w:pPr>
        <w:jc w:val="center"/>
        <w:rPr>
          <w:b/>
          <w:bCs/>
        </w:rPr>
      </w:pPr>
      <w:r w:rsidRPr="00C44DC0">
        <w:rPr>
          <w:b/>
          <w:bCs/>
        </w:rPr>
        <w:t>(faktor namembnosti objekta)</w:t>
      </w:r>
    </w:p>
    <w:p w14:paraId="7B8CC120" w14:textId="77777777" w:rsidR="00BE1E16" w:rsidRPr="00C44DC0" w:rsidRDefault="00BE1E16" w:rsidP="00C44DC0">
      <w:pPr>
        <w:jc w:val="center"/>
        <w:rPr>
          <w:rFonts w:eastAsia="Calibri"/>
          <w:shd w:val="clear" w:color="auto" w:fill="FFFFFF"/>
          <w:lang w:eastAsia="en-US"/>
        </w:rPr>
      </w:pPr>
    </w:p>
    <w:p w14:paraId="6B618169" w14:textId="77777777" w:rsidR="00111E29" w:rsidRDefault="00111E29" w:rsidP="00111E29">
      <w:pPr>
        <w:pStyle w:val="Odstavekseznama"/>
        <w:numPr>
          <w:ilvl w:val="0"/>
          <w:numId w:val="27"/>
        </w:numPr>
        <w:ind w:left="406"/>
        <w:jc w:val="both"/>
        <w:rPr>
          <w:rFonts w:eastAsia="Calibri"/>
          <w:sz w:val="24"/>
          <w:szCs w:val="24"/>
          <w:shd w:val="clear" w:color="auto" w:fill="FFFFFF"/>
          <w:lang w:eastAsia="en-US"/>
        </w:rPr>
      </w:pPr>
      <w:r w:rsidRPr="00FD4734">
        <w:rPr>
          <w:rFonts w:eastAsia="Calibri"/>
          <w:sz w:val="24"/>
          <w:szCs w:val="24"/>
          <w:shd w:val="clear" w:color="auto" w:fill="FFFFFF"/>
          <w:lang w:eastAsia="en-US"/>
        </w:rPr>
        <w:lastRenderedPageBreak/>
        <w:t>Faktor namembnosti objekta se določi glede na namen uporabe objekta. V kolikor se objekt uporablja za več namenov, se pri izračunu komunalnega prispevka faktorji namembnosti določijo za vsako površino posamezne rabe posebej.</w:t>
      </w:r>
    </w:p>
    <w:p w14:paraId="61D9D8DE" w14:textId="2C08DF0B" w:rsidR="00BE1E16" w:rsidRPr="00111E29" w:rsidRDefault="00BE1E16" w:rsidP="00111E29">
      <w:pPr>
        <w:pStyle w:val="Odstavekseznama"/>
        <w:numPr>
          <w:ilvl w:val="0"/>
          <w:numId w:val="27"/>
        </w:numPr>
        <w:ind w:left="378"/>
        <w:jc w:val="both"/>
        <w:rPr>
          <w:rFonts w:eastAsia="Calibri"/>
          <w:sz w:val="24"/>
          <w:szCs w:val="24"/>
          <w:shd w:val="clear" w:color="auto" w:fill="FFFFFF"/>
          <w:lang w:eastAsia="en-US"/>
        </w:rPr>
      </w:pPr>
      <w:r w:rsidRPr="00111E29">
        <w:rPr>
          <w:rFonts w:eastAsia="Calibri"/>
          <w:sz w:val="24"/>
          <w:szCs w:val="24"/>
          <w:shd w:val="clear" w:color="auto" w:fill="FFFFFF"/>
          <w:lang w:eastAsia="en-US"/>
        </w:rPr>
        <w:t>Faktor namembnosti objekta (</w:t>
      </w:r>
      <w:proofErr w:type="spellStart"/>
      <w:r w:rsidRPr="00111E29">
        <w:rPr>
          <w:rFonts w:eastAsia="Calibri"/>
          <w:sz w:val="24"/>
          <w:szCs w:val="24"/>
          <w:shd w:val="clear" w:color="auto" w:fill="FFFFFF"/>
          <w:lang w:eastAsia="en-US"/>
        </w:rPr>
        <w:t>F</w:t>
      </w:r>
      <w:r w:rsidRPr="00111E29">
        <w:rPr>
          <w:rFonts w:eastAsia="Calibri"/>
          <w:sz w:val="24"/>
          <w:szCs w:val="24"/>
          <w:shd w:val="clear" w:color="auto" w:fill="FFFFFF"/>
          <w:vertAlign w:val="subscript"/>
          <w:lang w:eastAsia="en-US"/>
        </w:rPr>
        <w:t>n</w:t>
      </w:r>
      <w:proofErr w:type="spellEnd"/>
      <w:r w:rsidRPr="00111E29">
        <w:rPr>
          <w:rFonts w:eastAsia="Calibri"/>
          <w:sz w:val="24"/>
          <w:szCs w:val="24"/>
          <w:shd w:val="clear" w:color="auto" w:fill="FFFFFF"/>
          <w:lang w:eastAsia="en-US"/>
        </w:rPr>
        <w:t>) za posamezne vrste objektov, kot se razvrščajo v skladu s predpisom, ki določa klasifikacijo vrst objektov CC-SI glede na namen uporabe objektov, se določa, kot je navedeno v spodnji tabeli.</w:t>
      </w:r>
    </w:p>
    <w:p w14:paraId="6A65C037" w14:textId="77777777" w:rsidR="00A51EC9" w:rsidRPr="00C44DC0" w:rsidRDefault="00A51EC9" w:rsidP="00C44DC0">
      <w:pPr>
        <w:shd w:val="clear" w:color="auto" w:fill="FFFFFF"/>
        <w:jc w:val="both"/>
        <w:rPr>
          <w:rFonts w:eastAsia="Calibri"/>
          <w:shd w:val="clear" w:color="auto" w:fill="FFFFFF"/>
          <w:lang w:eastAsia="en-US"/>
        </w:rPr>
      </w:pPr>
    </w:p>
    <w:tbl>
      <w:tblPr>
        <w:tblW w:w="902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6945"/>
        <w:gridCol w:w="1134"/>
      </w:tblGrid>
      <w:tr w:rsidR="00A51EC9" w:rsidRPr="003A703B" w14:paraId="5B62FE87" w14:textId="77777777" w:rsidTr="00A51EC9">
        <w:trPr>
          <w:trHeight w:val="290"/>
          <w:tblHeader/>
        </w:trPr>
        <w:tc>
          <w:tcPr>
            <w:tcW w:w="948" w:type="dxa"/>
            <w:shd w:val="clear" w:color="auto" w:fill="auto"/>
          </w:tcPr>
          <w:p w14:paraId="3B672C9A" w14:textId="77777777" w:rsidR="00A51EC9" w:rsidRPr="003A703B" w:rsidRDefault="00A51EC9" w:rsidP="00FF138E">
            <w:pPr>
              <w:autoSpaceDE w:val="0"/>
              <w:autoSpaceDN w:val="0"/>
              <w:adjustRightInd w:val="0"/>
              <w:jc w:val="center"/>
              <w:rPr>
                <w:b/>
                <w:bCs/>
                <w:color w:val="000000"/>
                <w:sz w:val="22"/>
                <w:szCs w:val="22"/>
              </w:rPr>
            </w:pPr>
            <w:r w:rsidRPr="003A703B">
              <w:rPr>
                <w:b/>
                <w:bCs/>
                <w:color w:val="000000"/>
                <w:sz w:val="22"/>
                <w:szCs w:val="22"/>
              </w:rPr>
              <w:t>CC-SI</w:t>
            </w:r>
          </w:p>
          <w:p w14:paraId="0026E84A" w14:textId="77777777" w:rsidR="00A51EC9" w:rsidRPr="003A703B" w:rsidRDefault="00A51EC9" w:rsidP="00FF138E">
            <w:pPr>
              <w:autoSpaceDE w:val="0"/>
              <w:autoSpaceDN w:val="0"/>
              <w:adjustRightInd w:val="0"/>
              <w:jc w:val="center"/>
              <w:rPr>
                <w:b/>
                <w:bCs/>
                <w:color w:val="000000"/>
                <w:sz w:val="22"/>
                <w:szCs w:val="22"/>
              </w:rPr>
            </w:pPr>
            <w:r w:rsidRPr="003A703B">
              <w:rPr>
                <w:b/>
                <w:bCs/>
                <w:color w:val="000000"/>
                <w:sz w:val="22"/>
                <w:szCs w:val="22"/>
              </w:rPr>
              <w:t>oznaka</w:t>
            </w:r>
          </w:p>
        </w:tc>
        <w:tc>
          <w:tcPr>
            <w:tcW w:w="6945" w:type="dxa"/>
            <w:shd w:val="clear" w:color="auto" w:fill="auto"/>
          </w:tcPr>
          <w:p w14:paraId="6FAA1846"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Klasifikacija objektov</w:t>
            </w:r>
          </w:p>
        </w:tc>
        <w:tc>
          <w:tcPr>
            <w:tcW w:w="1134" w:type="dxa"/>
            <w:shd w:val="clear" w:color="auto" w:fill="auto"/>
          </w:tcPr>
          <w:p w14:paraId="6B723AE0" w14:textId="77777777" w:rsidR="00A51EC9" w:rsidRPr="003A703B" w:rsidRDefault="00A51EC9" w:rsidP="00FF138E">
            <w:pPr>
              <w:autoSpaceDE w:val="0"/>
              <w:autoSpaceDN w:val="0"/>
              <w:adjustRightInd w:val="0"/>
              <w:jc w:val="center"/>
              <w:rPr>
                <w:b/>
                <w:bCs/>
                <w:color w:val="000000"/>
                <w:sz w:val="22"/>
                <w:szCs w:val="22"/>
              </w:rPr>
            </w:pPr>
            <w:proofErr w:type="spellStart"/>
            <w:r w:rsidRPr="003A703B">
              <w:rPr>
                <w:b/>
                <w:bCs/>
                <w:color w:val="000000"/>
                <w:sz w:val="22"/>
                <w:szCs w:val="22"/>
              </w:rPr>
              <w:t>F</w:t>
            </w:r>
            <w:r w:rsidRPr="003A703B">
              <w:rPr>
                <w:b/>
                <w:bCs/>
                <w:color w:val="000000"/>
                <w:sz w:val="22"/>
                <w:szCs w:val="22"/>
                <w:vertAlign w:val="subscript"/>
              </w:rPr>
              <w:t>n</w:t>
            </w:r>
            <w:proofErr w:type="spellEnd"/>
          </w:p>
        </w:tc>
      </w:tr>
      <w:tr w:rsidR="00A51EC9" w:rsidRPr="003A703B" w14:paraId="337664EC" w14:textId="77777777" w:rsidTr="00A51EC9">
        <w:trPr>
          <w:trHeight w:val="290"/>
        </w:trPr>
        <w:tc>
          <w:tcPr>
            <w:tcW w:w="948" w:type="dxa"/>
            <w:shd w:val="clear" w:color="auto" w:fill="auto"/>
          </w:tcPr>
          <w:p w14:paraId="7FCB7AB9" w14:textId="2C8250C3" w:rsidR="00A51EC9" w:rsidRPr="003A703B" w:rsidRDefault="003470B8" w:rsidP="00FF138E">
            <w:pPr>
              <w:autoSpaceDE w:val="0"/>
              <w:autoSpaceDN w:val="0"/>
              <w:adjustRightInd w:val="0"/>
              <w:rPr>
                <w:b/>
                <w:bCs/>
                <w:color w:val="000000"/>
                <w:sz w:val="22"/>
                <w:szCs w:val="22"/>
              </w:rPr>
            </w:pPr>
            <w:r>
              <w:rPr>
                <w:b/>
                <w:bCs/>
                <w:color w:val="000000"/>
                <w:sz w:val="22"/>
                <w:szCs w:val="22"/>
              </w:rPr>
              <w:t>1</w:t>
            </w:r>
          </w:p>
        </w:tc>
        <w:tc>
          <w:tcPr>
            <w:tcW w:w="6945" w:type="dxa"/>
            <w:shd w:val="clear" w:color="auto" w:fill="auto"/>
          </w:tcPr>
          <w:p w14:paraId="3C300ACF"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STAVBE</w:t>
            </w:r>
          </w:p>
        </w:tc>
        <w:tc>
          <w:tcPr>
            <w:tcW w:w="1134" w:type="dxa"/>
            <w:shd w:val="clear" w:color="auto" w:fill="auto"/>
          </w:tcPr>
          <w:p w14:paraId="1A1B8DEE" w14:textId="77777777" w:rsidR="00A51EC9" w:rsidRPr="003A703B" w:rsidRDefault="00A51EC9" w:rsidP="00FF138E">
            <w:pPr>
              <w:jc w:val="right"/>
              <w:rPr>
                <w:sz w:val="22"/>
                <w:szCs w:val="22"/>
              </w:rPr>
            </w:pPr>
          </w:p>
        </w:tc>
      </w:tr>
      <w:tr w:rsidR="00A51EC9" w:rsidRPr="003A703B" w14:paraId="088C0801" w14:textId="77777777" w:rsidTr="00A51EC9">
        <w:trPr>
          <w:trHeight w:val="290"/>
        </w:trPr>
        <w:tc>
          <w:tcPr>
            <w:tcW w:w="948" w:type="dxa"/>
            <w:shd w:val="clear" w:color="auto" w:fill="auto"/>
          </w:tcPr>
          <w:p w14:paraId="600A73AB"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11</w:t>
            </w:r>
          </w:p>
        </w:tc>
        <w:tc>
          <w:tcPr>
            <w:tcW w:w="6945" w:type="dxa"/>
            <w:shd w:val="clear" w:color="auto" w:fill="auto"/>
          </w:tcPr>
          <w:p w14:paraId="0C046155"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Stanovanjske stavbe</w:t>
            </w:r>
          </w:p>
        </w:tc>
        <w:tc>
          <w:tcPr>
            <w:tcW w:w="1134" w:type="dxa"/>
            <w:shd w:val="clear" w:color="auto" w:fill="auto"/>
          </w:tcPr>
          <w:p w14:paraId="1F16B72C" w14:textId="77777777" w:rsidR="00A51EC9" w:rsidRPr="003A703B" w:rsidRDefault="00A51EC9" w:rsidP="00FF138E">
            <w:pPr>
              <w:rPr>
                <w:sz w:val="22"/>
                <w:szCs w:val="22"/>
              </w:rPr>
            </w:pPr>
          </w:p>
        </w:tc>
      </w:tr>
      <w:tr w:rsidR="00A51EC9" w:rsidRPr="003A703B" w14:paraId="6C5DCB93" w14:textId="77777777" w:rsidTr="00A51EC9">
        <w:trPr>
          <w:trHeight w:val="290"/>
        </w:trPr>
        <w:tc>
          <w:tcPr>
            <w:tcW w:w="948" w:type="dxa"/>
            <w:shd w:val="clear" w:color="auto" w:fill="auto"/>
          </w:tcPr>
          <w:p w14:paraId="7F1BC0F0" w14:textId="6EB15C24" w:rsidR="00A51EC9" w:rsidRPr="003A703B" w:rsidRDefault="00A51EC9" w:rsidP="00FF138E">
            <w:pPr>
              <w:autoSpaceDE w:val="0"/>
              <w:autoSpaceDN w:val="0"/>
              <w:adjustRightInd w:val="0"/>
              <w:rPr>
                <w:color w:val="000000"/>
                <w:sz w:val="22"/>
                <w:szCs w:val="22"/>
              </w:rPr>
            </w:pPr>
            <w:r w:rsidRPr="003A703B">
              <w:rPr>
                <w:color w:val="000000"/>
                <w:sz w:val="22"/>
                <w:szCs w:val="22"/>
              </w:rPr>
              <w:t>111</w:t>
            </w:r>
            <w:r w:rsidR="00FD4734">
              <w:rPr>
                <w:color w:val="000000"/>
                <w:sz w:val="22"/>
                <w:szCs w:val="22"/>
              </w:rPr>
              <w:t>0</w:t>
            </w:r>
          </w:p>
        </w:tc>
        <w:tc>
          <w:tcPr>
            <w:tcW w:w="6945" w:type="dxa"/>
            <w:shd w:val="clear" w:color="auto" w:fill="auto"/>
          </w:tcPr>
          <w:p w14:paraId="66C5A854" w14:textId="77777777" w:rsidR="00A51EC9" w:rsidRPr="003A703B" w:rsidRDefault="00A51EC9" w:rsidP="00FF138E">
            <w:pPr>
              <w:autoSpaceDE w:val="0"/>
              <w:autoSpaceDN w:val="0"/>
              <w:adjustRightInd w:val="0"/>
              <w:rPr>
                <w:color w:val="000000"/>
                <w:sz w:val="22"/>
                <w:szCs w:val="22"/>
              </w:rPr>
            </w:pPr>
            <w:r w:rsidRPr="003A703B">
              <w:rPr>
                <w:color w:val="000000"/>
                <w:sz w:val="22"/>
                <w:szCs w:val="22"/>
              </w:rPr>
              <w:t>Enostanovanjske stavbe</w:t>
            </w:r>
          </w:p>
        </w:tc>
        <w:tc>
          <w:tcPr>
            <w:tcW w:w="1134" w:type="dxa"/>
            <w:shd w:val="clear" w:color="auto" w:fill="auto"/>
          </w:tcPr>
          <w:p w14:paraId="47D78325" w14:textId="5D344A13" w:rsidR="00A51EC9" w:rsidRPr="003A703B" w:rsidRDefault="00AF59E7" w:rsidP="00FF138E">
            <w:pPr>
              <w:jc w:val="right"/>
              <w:rPr>
                <w:sz w:val="22"/>
                <w:szCs w:val="22"/>
              </w:rPr>
            </w:pPr>
            <w:r w:rsidRPr="003A703B">
              <w:rPr>
                <w:sz w:val="22"/>
                <w:szCs w:val="22"/>
              </w:rPr>
              <w:t>1,0</w:t>
            </w:r>
          </w:p>
        </w:tc>
      </w:tr>
      <w:tr w:rsidR="00AF59E7" w:rsidRPr="003A703B" w14:paraId="3618268A" w14:textId="77777777" w:rsidTr="00A51EC9">
        <w:trPr>
          <w:trHeight w:val="290"/>
        </w:trPr>
        <w:tc>
          <w:tcPr>
            <w:tcW w:w="948" w:type="dxa"/>
            <w:shd w:val="clear" w:color="auto" w:fill="auto"/>
          </w:tcPr>
          <w:p w14:paraId="6557CA93" w14:textId="77777777" w:rsidR="00AF59E7" w:rsidRPr="003A703B" w:rsidRDefault="00AF59E7" w:rsidP="00AF59E7">
            <w:pPr>
              <w:autoSpaceDE w:val="0"/>
              <w:autoSpaceDN w:val="0"/>
              <w:adjustRightInd w:val="0"/>
              <w:rPr>
                <w:color w:val="000000"/>
                <w:sz w:val="22"/>
                <w:szCs w:val="22"/>
              </w:rPr>
            </w:pPr>
            <w:r w:rsidRPr="003A703B">
              <w:rPr>
                <w:color w:val="000000"/>
                <w:sz w:val="22"/>
                <w:szCs w:val="22"/>
              </w:rPr>
              <w:t>1121</w:t>
            </w:r>
          </w:p>
        </w:tc>
        <w:tc>
          <w:tcPr>
            <w:tcW w:w="6945" w:type="dxa"/>
            <w:shd w:val="clear" w:color="auto" w:fill="auto"/>
          </w:tcPr>
          <w:p w14:paraId="74035320" w14:textId="77777777" w:rsidR="00AF59E7" w:rsidRPr="003A703B" w:rsidRDefault="00AF59E7" w:rsidP="00AF59E7">
            <w:pPr>
              <w:autoSpaceDE w:val="0"/>
              <w:autoSpaceDN w:val="0"/>
              <w:adjustRightInd w:val="0"/>
              <w:rPr>
                <w:color w:val="000000"/>
                <w:sz w:val="22"/>
                <w:szCs w:val="22"/>
              </w:rPr>
            </w:pPr>
            <w:r w:rsidRPr="003A703B">
              <w:rPr>
                <w:color w:val="000000"/>
                <w:sz w:val="22"/>
                <w:szCs w:val="22"/>
              </w:rPr>
              <w:t>Dvostanovanjske stavbe</w:t>
            </w:r>
          </w:p>
        </w:tc>
        <w:tc>
          <w:tcPr>
            <w:tcW w:w="1134" w:type="dxa"/>
            <w:shd w:val="clear" w:color="auto" w:fill="auto"/>
          </w:tcPr>
          <w:p w14:paraId="3E98D7C7" w14:textId="2709CC09" w:rsidR="00AF59E7" w:rsidRPr="003A703B" w:rsidRDefault="00AF59E7" w:rsidP="00AF59E7">
            <w:pPr>
              <w:jc w:val="right"/>
              <w:rPr>
                <w:sz w:val="22"/>
                <w:szCs w:val="22"/>
              </w:rPr>
            </w:pPr>
            <w:r w:rsidRPr="003A703B">
              <w:rPr>
                <w:sz w:val="22"/>
                <w:szCs w:val="22"/>
              </w:rPr>
              <w:t>1,0</w:t>
            </w:r>
          </w:p>
        </w:tc>
      </w:tr>
      <w:tr w:rsidR="00AF59E7" w:rsidRPr="003A703B" w14:paraId="2A7A2C04" w14:textId="77777777" w:rsidTr="00A51EC9">
        <w:trPr>
          <w:trHeight w:val="290"/>
        </w:trPr>
        <w:tc>
          <w:tcPr>
            <w:tcW w:w="948" w:type="dxa"/>
            <w:shd w:val="clear" w:color="auto" w:fill="auto"/>
          </w:tcPr>
          <w:p w14:paraId="578B5453" w14:textId="77777777" w:rsidR="00AF59E7" w:rsidRPr="003A703B" w:rsidRDefault="00AF59E7" w:rsidP="00AF59E7">
            <w:pPr>
              <w:autoSpaceDE w:val="0"/>
              <w:autoSpaceDN w:val="0"/>
              <w:adjustRightInd w:val="0"/>
              <w:rPr>
                <w:color w:val="000000"/>
                <w:sz w:val="22"/>
                <w:szCs w:val="22"/>
              </w:rPr>
            </w:pPr>
            <w:r w:rsidRPr="003A703B">
              <w:rPr>
                <w:sz w:val="22"/>
                <w:szCs w:val="22"/>
              </w:rPr>
              <w:t>1122</w:t>
            </w:r>
          </w:p>
        </w:tc>
        <w:tc>
          <w:tcPr>
            <w:tcW w:w="6945" w:type="dxa"/>
            <w:shd w:val="clear" w:color="auto" w:fill="auto"/>
          </w:tcPr>
          <w:p w14:paraId="172EC5FA" w14:textId="77777777" w:rsidR="00AF59E7" w:rsidRPr="003A703B" w:rsidRDefault="00AF59E7" w:rsidP="00AF59E7">
            <w:pPr>
              <w:autoSpaceDE w:val="0"/>
              <w:autoSpaceDN w:val="0"/>
              <w:adjustRightInd w:val="0"/>
              <w:rPr>
                <w:color w:val="000000"/>
                <w:sz w:val="22"/>
                <w:szCs w:val="22"/>
              </w:rPr>
            </w:pPr>
            <w:r w:rsidRPr="003A703B">
              <w:rPr>
                <w:sz w:val="22"/>
                <w:szCs w:val="22"/>
              </w:rPr>
              <w:t>Tri in večstanovanjske stavbe</w:t>
            </w:r>
          </w:p>
        </w:tc>
        <w:tc>
          <w:tcPr>
            <w:tcW w:w="1134" w:type="dxa"/>
            <w:shd w:val="clear" w:color="auto" w:fill="auto"/>
          </w:tcPr>
          <w:p w14:paraId="786DC8C8" w14:textId="1EC8917D" w:rsidR="00AF59E7" w:rsidRPr="003A703B" w:rsidRDefault="00AF59E7" w:rsidP="00AF59E7">
            <w:pPr>
              <w:jc w:val="right"/>
              <w:rPr>
                <w:sz w:val="22"/>
                <w:szCs w:val="22"/>
              </w:rPr>
            </w:pPr>
            <w:r w:rsidRPr="003A703B">
              <w:rPr>
                <w:sz w:val="22"/>
                <w:szCs w:val="22"/>
              </w:rPr>
              <w:t>1,0</w:t>
            </w:r>
          </w:p>
        </w:tc>
      </w:tr>
      <w:tr w:rsidR="00AF59E7" w:rsidRPr="003A703B" w14:paraId="418F1AB0" w14:textId="77777777" w:rsidTr="00A51EC9">
        <w:trPr>
          <w:trHeight w:val="290"/>
        </w:trPr>
        <w:tc>
          <w:tcPr>
            <w:tcW w:w="948" w:type="dxa"/>
            <w:shd w:val="clear" w:color="auto" w:fill="auto"/>
          </w:tcPr>
          <w:p w14:paraId="2BF76853" w14:textId="77777777" w:rsidR="00AF59E7" w:rsidRPr="003A703B" w:rsidRDefault="00AF59E7" w:rsidP="00AF59E7">
            <w:pPr>
              <w:autoSpaceDE w:val="0"/>
              <w:autoSpaceDN w:val="0"/>
              <w:adjustRightInd w:val="0"/>
              <w:rPr>
                <w:color w:val="000000"/>
                <w:sz w:val="22"/>
                <w:szCs w:val="22"/>
              </w:rPr>
            </w:pPr>
            <w:r w:rsidRPr="003A703B">
              <w:rPr>
                <w:color w:val="000000"/>
                <w:sz w:val="22"/>
                <w:szCs w:val="22"/>
              </w:rPr>
              <w:t>1130</w:t>
            </w:r>
          </w:p>
        </w:tc>
        <w:tc>
          <w:tcPr>
            <w:tcW w:w="6945" w:type="dxa"/>
            <w:shd w:val="clear" w:color="auto" w:fill="auto"/>
          </w:tcPr>
          <w:p w14:paraId="4D6A0DF2" w14:textId="77777777" w:rsidR="00AF59E7" w:rsidRPr="003A703B" w:rsidRDefault="00AF59E7" w:rsidP="00AF59E7">
            <w:pPr>
              <w:autoSpaceDE w:val="0"/>
              <w:autoSpaceDN w:val="0"/>
              <w:adjustRightInd w:val="0"/>
              <w:rPr>
                <w:color w:val="000000"/>
                <w:sz w:val="22"/>
                <w:szCs w:val="22"/>
              </w:rPr>
            </w:pPr>
            <w:r w:rsidRPr="003A703B">
              <w:rPr>
                <w:color w:val="000000"/>
                <w:sz w:val="22"/>
                <w:szCs w:val="22"/>
              </w:rPr>
              <w:t>Stanovanjske stavbe za posebne družbene skupine</w:t>
            </w:r>
          </w:p>
        </w:tc>
        <w:tc>
          <w:tcPr>
            <w:tcW w:w="1134" w:type="dxa"/>
            <w:shd w:val="clear" w:color="auto" w:fill="auto"/>
          </w:tcPr>
          <w:p w14:paraId="78A5D5ED" w14:textId="0E211D61" w:rsidR="00AF59E7" w:rsidRPr="003A703B" w:rsidRDefault="00AF59E7" w:rsidP="00AF59E7">
            <w:pPr>
              <w:jc w:val="right"/>
              <w:rPr>
                <w:sz w:val="22"/>
                <w:szCs w:val="22"/>
              </w:rPr>
            </w:pPr>
            <w:r w:rsidRPr="003A703B">
              <w:rPr>
                <w:sz w:val="22"/>
                <w:szCs w:val="22"/>
              </w:rPr>
              <w:t>1,0</w:t>
            </w:r>
          </w:p>
        </w:tc>
      </w:tr>
      <w:tr w:rsidR="00A51EC9" w:rsidRPr="003A703B" w14:paraId="450A2EFD" w14:textId="77777777" w:rsidTr="00A51EC9">
        <w:trPr>
          <w:trHeight w:val="290"/>
        </w:trPr>
        <w:tc>
          <w:tcPr>
            <w:tcW w:w="948" w:type="dxa"/>
            <w:shd w:val="clear" w:color="auto" w:fill="auto"/>
          </w:tcPr>
          <w:p w14:paraId="29FFA303"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w:t>
            </w:r>
          </w:p>
        </w:tc>
        <w:tc>
          <w:tcPr>
            <w:tcW w:w="6945" w:type="dxa"/>
            <w:shd w:val="clear" w:color="auto" w:fill="auto"/>
          </w:tcPr>
          <w:p w14:paraId="4F1D7218"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Ne stanovanjske stavbe</w:t>
            </w:r>
          </w:p>
        </w:tc>
        <w:tc>
          <w:tcPr>
            <w:tcW w:w="1134" w:type="dxa"/>
            <w:shd w:val="clear" w:color="auto" w:fill="auto"/>
          </w:tcPr>
          <w:p w14:paraId="37AEF1EA" w14:textId="77777777" w:rsidR="00A51EC9" w:rsidRPr="003A703B" w:rsidRDefault="00A51EC9" w:rsidP="00FF138E">
            <w:pPr>
              <w:jc w:val="right"/>
              <w:rPr>
                <w:sz w:val="22"/>
                <w:szCs w:val="22"/>
              </w:rPr>
            </w:pPr>
          </w:p>
        </w:tc>
      </w:tr>
      <w:tr w:rsidR="00A51EC9" w:rsidRPr="003A703B" w14:paraId="204BE939" w14:textId="77777777" w:rsidTr="00A51EC9">
        <w:trPr>
          <w:trHeight w:val="290"/>
        </w:trPr>
        <w:tc>
          <w:tcPr>
            <w:tcW w:w="948" w:type="dxa"/>
          </w:tcPr>
          <w:p w14:paraId="32B98C2F"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121</w:t>
            </w:r>
          </w:p>
        </w:tc>
        <w:tc>
          <w:tcPr>
            <w:tcW w:w="6945" w:type="dxa"/>
          </w:tcPr>
          <w:p w14:paraId="1343AC9C"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Gostinske stavbe</w:t>
            </w:r>
          </w:p>
        </w:tc>
        <w:tc>
          <w:tcPr>
            <w:tcW w:w="1134" w:type="dxa"/>
          </w:tcPr>
          <w:p w14:paraId="2641A5BB" w14:textId="77777777" w:rsidR="00A51EC9" w:rsidRPr="003A703B" w:rsidRDefault="00A51EC9" w:rsidP="00FF138E">
            <w:pPr>
              <w:jc w:val="right"/>
              <w:rPr>
                <w:sz w:val="22"/>
                <w:szCs w:val="22"/>
              </w:rPr>
            </w:pPr>
          </w:p>
        </w:tc>
      </w:tr>
      <w:tr w:rsidR="00A51EC9" w:rsidRPr="003A703B" w14:paraId="536F4461" w14:textId="77777777" w:rsidTr="00A51EC9">
        <w:trPr>
          <w:trHeight w:val="290"/>
        </w:trPr>
        <w:tc>
          <w:tcPr>
            <w:tcW w:w="948" w:type="dxa"/>
          </w:tcPr>
          <w:p w14:paraId="1B3EF6BE" w14:textId="77777777" w:rsidR="00A51EC9" w:rsidRPr="003A703B" w:rsidRDefault="00A51EC9" w:rsidP="00FF138E">
            <w:pPr>
              <w:autoSpaceDE w:val="0"/>
              <w:autoSpaceDN w:val="0"/>
              <w:adjustRightInd w:val="0"/>
              <w:rPr>
                <w:color w:val="000000"/>
                <w:sz w:val="22"/>
                <w:szCs w:val="22"/>
              </w:rPr>
            </w:pPr>
            <w:r w:rsidRPr="003A703B">
              <w:rPr>
                <w:color w:val="000000"/>
                <w:sz w:val="22"/>
                <w:szCs w:val="22"/>
              </w:rPr>
              <w:t>12111</w:t>
            </w:r>
          </w:p>
        </w:tc>
        <w:tc>
          <w:tcPr>
            <w:tcW w:w="6945" w:type="dxa"/>
          </w:tcPr>
          <w:p w14:paraId="598C91FE" w14:textId="11160423" w:rsidR="00A51EC9" w:rsidRPr="003A703B" w:rsidRDefault="00FD4734" w:rsidP="00FD4734">
            <w:pPr>
              <w:autoSpaceDE w:val="0"/>
              <w:autoSpaceDN w:val="0"/>
              <w:adjustRightInd w:val="0"/>
              <w:rPr>
                <w:color w:val="000000"/>
                <w:sz w:val="22"/>
                <w:szCs w:val="22"/>
              </w:rPr>
            </w:pPr>
            <w:r w:rsidRPr="00FD4734">
              <w:rPr>
                <w:color w:val="000000"/>
                <w:sz w:val="22"/>
                <w:szCs w:val="22"/>
              </w:rPr>
              <w:t>Hotelske in podobne stavbe za kratkotrajno nastanitev</w:t>
            </w:r>
          </w:p>
        </w:tc>
        <w:tc>
          <w:tcPr>
            <w:tcW w:w="1134" w:type="dxa"/>
            <w:vAlign w:val="center"/>
          </w:tcPr>
          <w:p w14:paraId="00C9953E" w14:textId="2A640B6A" w:rsidR="00A51EC9" w:rsidRPr="003A703B" w:rsidRDefault="00A51EC9" w:rsidP="00FF138E">
            <w:pPr>
              <w:jc w:val="right"/>
              <w:rPr>
                <w:sz w:val="22"/>
                <w:szCs w:val="22"/>
              </w:rPr>
            </w:pPr>
            <w:r w:rsidRPr="003A703B">
              <w:rPr>
                <w:color w:val="000000"/>
                <w:sz w:val="22"/>
                <w:szCs w:val="22"/>
              </w:rPr>
              <w:t>1</w:t>
            </w:r>
            <w:r w:rsidR="0057548B" w:rsidRPr="003A703B">
              <w:rPr>
                <w:color w:val="000000"/>
                <w:sz w:val="22"/>
                <w:szCs w:val="22"/>
              </w:rPr>
              <w:t>,1</w:t>
            </w:r>
          </w:p>
        </w:tc>
      </w:tr>
      <w:tr w:rsidR="0057548B" w:rsidRPr="003A703B" w14:paraId="637AC40D" w14:textId="77777777" w:rsidTr="005124B4">
        <w:trPr>
          <w:trHeight w:val="290"/>
        </w:trPr>
        <w:tc>
          <w:tcPr>
            <w:tcW w:w="948" w:type="dxa"/>
          </w:tcPr>
          <w:p w14:paraId="6E9F0D8F" w14:textId="77777777" w:rsidR="0057548B" w:rsidRPr="003A703B" w:rsidRDefault="0057548B" w:rsidP="0057548B">
            <w:pPr>
              <w:autoSpaceDE w:val="0"/>
              <w:autoSpaceDN w:val="0"/>
              <w:adjustRightInd w:val="0"/>
              <w:rPr>
                <w:color w:val="000000"/>
                <w:sz w:val="22"/>
                <w:szCs w:val="22"/>
              </w:rPr>
            </w:pPr>
            <w:r w:rsidRPr="003A703B">
              <w:rPr>
                <w:sz w:val="22"/>
                <w:szCs w:val="22"/>
              </w:rPr>
              <w:t>12112</w:t>
            </w:r>
          </w:p>
        </w:tc>
        <w:tc>
          <w:tcPr>
            <w:tcW w:w="6945" w:type="dxa"/>
          </w:tcPr>
          <w:p w14:paraId="66D81C5C" w14:textId="177B34A7" w:rsidR="0057548B" w:rsidRPr="003A703B" w:rsidRDefault="0057548B" w:rsidP="0057548B">
            <w:pPr>
              <w:autoSpaceDE w:val="0"/>
              <w:autoSpaceDN w:val="0"/>
              <w:adjustRightInd w:val="0"/>
              <w:rPr>
                <w:color w:val="000000"/>
                <w:sz w:val="22"/>
                <w:szCs w:val="22"/>
              </w:rPr>
            </w:pPr>
            <w:r w:rsidRPr="003A703B">
              <w:rPr>
                <w:sz w:val="22"/>
                <w:szCs w:val="22"/>
              </w:rPr>
              <w:t>Gostilne, restavracije in točilnice</w:t>
            </w:r>
          </w:p>
        </w:tc>
        <w:tc>
          <w:tcPr>
            <w:tcW w:w="1134" w:type="dxa"/>
          </w:tcPr>
          <w:p w14:paraId="0BC4E78B" w14:textId="2765B751" w:rsidR="0057548B" w:rsidRPr="003A703B" w:rsidRDefault="0057548B" w:rsidP="0057548B">
            <w:pPr>
              <w:jc w:val="right"/>
              <w:rPr>
                <w:sz w:val="22"/>
                <w:szCs w:val="22"/>
              </w:rPr>
            </w:pPr>
            <w:r w:rsidRPr="003A703B">
              <w:rPr>
                <w:color w:val="000000"/>
                <w:sz w:val="22"/>
                <w:szCs w:val="22"/>
              </w:rPr>
              <w:t>1,1</w:t>
            </w:r>
          </w:p>
        </w:tc>
      </w:tr>
      <w:tr w:rsidR="0057548B" w:rsidRPr="003A703B" w14:paraId="57A81FE0" w14:textId="77777777" w:rsidTr="005124B4">
        <w:trPr>
          <w:trHeight w:val="290"/>
        </w:trPr>
        <w:tc>
          <w:tcPr>
            <w:tcW w:w="948" w:type="dxa"/>
          </w:tcPr>
          <w:p w14:paraId="77C0219A" w14:textId="6C9F9AC5" w:rsidR="0057548B" w:rsidRPr="003A703B" w:rsidRDefault="0057548B" w:rsidP="0057548B">
            <w:pPr>
              <w:autoSpaceDE w:val="0"/>
              <w:autoSpaceDN w:val="0"/>
              <w:adjustRightInd w:val="0"/>
              <w:rPr>
                <w:color w:val="000000"/>
                <w:sz w:val="22"/>
                <w:szCs w:val="22"/>
              </w:rPr>
            </w:pPr>
            <w:r w:rsidRPr="003A703B">
              <w:rPr>
                <w:color w:val="000000"/>
                <w:sz w:val="22"/>
                <w:szCs w:val="22"/>
              </w:rPr>
              <w:t>1212</w:t>
            </w:r>
          </w:p>
        </w:tc>
        <w:tc>
          <w:tcPr>
            <w:tcW w:w="6945" w:type="dxa"/>
          </w:tcPr>
          <w:p w14:paraId="20D60CF4" w14:textId="77777777" w:rsidR="0057548B" w:rsidRPr="003A703B" w:rsidRDefault="0057548B" w:rsidP="0057548B">
            <w:pPr>
              <w:autoSpaceDE w:val="0"/>
              <w:autoSpaceDN w:val="0"/>
              <w:adjustRightInd w:val="0"/>
              <w:rPr>
                <w:color w:val="000000"/>
                <w:sz w:val="22"/>
                <w:szCs w:val="22"/>
              </w:rPr>
            </w:pPr>
            <w:r w:rsidRPr="003A703B">
              <w:rPr>
                <w:color w:val="000000"/>
                <w:sz w:val="22"/>
                <w:szCs w:val="22"/>
              </w:rPr>
              <w:t>Druge gostinske stavbe za kratkotrajno namestitev</w:t>
            </w:r>
          </w:p>
        </w:tc>
        <w:tc>
          <w:tcPr>
            <w:tcW w:w="1134" w:type="dxa"/>
          </w:tcPr>
          <w:p w14:paraId="4EBBB7CB" w14:textId="36019949" w:rsidR="0057548B" w:rsidRPr="003A703B" w:rsidRDefault="0057548B" w:rsidP="0057548B">
            <w:pPr>
              <w:jc w:val="right"/>
              <w:rPr>
                <w:sz w:val="22"/>
                <w:szCs w:val="22"/>
              </w:rPr>
            </w:pPr>
            <w:r w:rsidRPr="003A703B">
              <w:rPr>
                <w:color w:val="000000"/>
                <w:sz w:val="22"/>
                <w:szCs w:val="22"/>
              </w:rPr>
              <w:t>1,1</w:t>
            </w:r>
          </w:p>
        </w:tc>
      </w:tr>
      <w:tr w:rsidR="00A51EC9" w:rsidRPr="003A703B" w14:paraId="59E7B859" w14:textId="77777777" w:rsidTr="00A51EC9">
        <w:trPr>
          <w:trHeight w:val="290"/>
        </w:trPr>
        <w:tc>
          <w:tcPr>
            <w:tcW w:w="948" w:type="dxa"/>
          </w:tcPr>
          <w:p w14:paraId="7CCA432F"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122</w:t>
            </w:r>
          </w:p>
        </w:tc>
        <w:tc>
          <w:tcPr>
            <w:tcW w:w="6945" w:type="dxa"/>
          </w:tcPr>
          <w:p w14:paraId="768059F5"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Poslovne in upravne stavbe</w:t>
            </w:r>
          </w:p>
        </w:tc>
        <w:tc>
          <w:tcPr>
            <w:tcW w:w="1134" w:type="dxa"/>
          </w:tcPr>
          <w:p w14:paraId="3507FDD2" w14:textId="5039DA97" w:rsidR="00A51EC9" w:rsidRPr="003A703B" w:rsidRDefault="00A51EC9" w:rsidP="00FF138E">
            <w:pPr>
              <w:jc w:val="right"/>
              <w:rPr>
                <w:sz w:val="22"/>
                <w:szCs w:val="22"/>
              </w:rPr>
            </w:pPr>
          </w:p>
        </w:tc>
      </w:tr>
      <w:tr w:rsidR="00A51EC9" w:rsidRPr="003A703B" w14:paraId="763097AB" w14:textId="77777777" w:rsidTr="00A51EC9">
        <w:trPr>
          <w:trHeight w:val="290"/>
        </w:trPr>
        <w:tc>
          <w:tcPr>
            <w:tcW w:w="948" w:type="dxa"/>
          </w:tcPr>
          <w:p w14:paraId="29982399" w14:textId="65445A99" w:rsidR="00A51EC9" w:rsidRPr="003A703B" w:rsidRDefault="00EF1A65" w:rsidP="00FF138E">
            <w:pPr>
              <w:autoSpaceDE w:val="0"/>
              <w:autoSpaceDN w:val="0"/>
              <w:adjustRightInd w:val="0"/>
              <w:rPr>
                <w:color w:val="000000"/>
                <w:sz w:val="22"/>
                <w:szCs w:val="22"/>
              </w:rPr>
            </w:pPr>
            <w:r>
              <w:t>12202</w:t>
            </w:r>
          </w:p>
        </w:tc>
        <w:tc>
          <w:tcPr>
            <w:tcW w:w="6945" w:type="dxa"/>
          </w:tcPr>
          <w:p w14:paraId="4C9A6253" w14:textId="61D96FE2" w:rsidR="00A51EC9" w:rsidRPr="003A703B" w:rsidRDefault="002D393D" w:rsidP="00FF138E">
            <w:pPr>
              <w:autoSpaceDE w:val="0"/>
              <w:autoSpaceDN w:val="0"/>
              <w:adjustRightInd w:val="0"/>
              <w:rPr>
                <w:color w:val="000000"/>
                <w:sz w:val="22"/>
                <w:szCs w:val="22"/>
              </w:rPr>
            </w:pPr>
            <w:r w:rsidRPr="002D393D">
              <w:rPr>
                <w:color w:val="000000"/>
                <w:sz w:val="22"/>
                <w:szCs w:val="22"/>
              </w:rPr>
              <w:t>Stavbe bank, pošt, zavarovalnic</w:t>
            </w:r>
          </w:p>
        </w:tc>
        <w:tc>
          <w:tcPr>
            <w:tcW w:w="1134" w:type="dxa"/>
          </w:tcPr>
          <w:p w14:paraId="59BAD767" w14:textId="198DA301" w:rsidR="00A51EC9" w:rsidRPr="003A703B" w:rsidRDefault="002D393D" w:rsidP="00FF138E">
            <w:pPr>
              <w:jc w:val="right"/>
              <w:rPr>
                <w:sz w:val="22"/>
                <w:szCs w:val="22"/>
              </w:rPr>
            </w:pPr>
            <w:r>
              <w:rPr>
                <w:sz w:val="22"/>
                <w:szCs w:val="22"/>
              </w:rPr>
              <w:t>1,1</w:t>
            </w:r>
          </w:p>
        </w:tc>
      </w:tr>
      <w:tr w:rsidR="00182D83" w:rsidRPr="003A703B" w14:paraId="3542DD1D" w14:textId="77777777" w:rsidTr="00A51EC9">
        <w:trPr>
          <w:trHeight w:val="290"/>
        </w:trPr>
        <w:tc>
          <w:tcPr>
            <w:tcW w:w="948" w:type="dxa"/>
          </w:tcPr>
          <w:p w14:paraId="1479CCF3" w14:textId="7298AA72" w:rsidR="00182D83" w:rsidRPr="003A703B" w:rsidRDefault="00182D83" w:rsidP="00182D83">
            <w:pPr>
              <w:autoSpaceDE w:val="0"/>
              <w:autoSpaceDN w:val="0"/>
              <w:adjustRightInd w:val="0"/>
              <w:rPr>
                <w:color w:val="000000"/>
                <w:sz w:val="22"/>
                <w:szCs w:val="22"/>
              </w:rPr>
            </w:pPr>
            <w:r>
              <w:t>12203</w:t>
            </w:r>
          </w:p>
        </w:tc>
        <w:tc>
          <w:tcPr>
            <w:tcW w:w="6945" w:type="dxa"/>
          </w:tcPr>
          <w:p w14:paraId="1FB84BC7" w14:textId="6ED6D8B9" w:rsidR="00182D83" w:rsidRPr="003A703B" w:rsidRDefault="00182D83" w:rsidP="00182D83">
            <w:pPr>
              <w:autoSpaceDE w:val="0"/>
              <w:autoSpaceDN w:val="0"/>
              <w:adjustRightInd w:val="0"/>
              <w:rPr>
                <w:color w:val="000000"/>
                <w:sz w:val="22"/>
                <w:szCs w:val="22"/>
              </w:rPr>
            </w:pPr>
            <w:r>
              <w:t>Druge poslovne stavbe</w:t>
            </w:r>
          </w:p>
        </w:tc>
        <w:tc>
          <w:tcPr>
            <w:tcW w:w="1134" w:type="dxa"/>
          </w:tcPr>
          <w:p w14:paraId="7C3FC3AE" w14:textId="1F367FE5" w:rsidR="00182D83" w:rsidRPr="003A703B" w:rsidRDefault="00182D83" w:rsidP="00182D83">
            <w:pPr>
              <w:jc w:val="right"/>
              <w:rPr>
                <w:sz w:val="22"/>
                <w:szCs w:val="22"/>
              </w:rPr>
            </w:pPr>
            <w:r w:rsidRPr="00274B6E">
              <w:rPr>
                <w:sz w:val="22"/>
                <w:szCs w:val="22"/>
              </w:rPr>
              <w:t>1,1</w:t>
            </w:r>
          </w:p>
        </w:tc>
      </w:tr>
      <w:tr w:rsidR="00182D83" w:rsidRPr="003A703B" w14:paraId="036290A1" w14:textId="77777777" w:rsidTr="00A51EC9">
        <w:trPr>
          <w:trHeight w:val="290"/>
        </w:trPr>
        <w:tc>
          <w:tcPr>
            <w:tcW w:w="948" w:type="dxa"/>
          </w:tcPr>
          <w:p w14:paraId="23A72958" w14:textId="72BA8CB1" w:rsidR="00182D83" w:rsidRPr="003A703B" w:rsidRDefault="00182D83" w:rsidP="00182D83">
            <w:pPr>
              <w:autoSpaceDE w:val="0"/>
              <w:autoSpaceDN w:val="0"/>
              <w:adjustRightInd w:val="0"/>
              <w:rPr>
                <w:color w:val="000000"/>
                <w:sz w:val="22"/>
                <w:szCs w:val="22"/>
              </w:rPr>
            </w:pPr>
            <w:r>
              <w:t>12204</w:t>
            </w:r>
          </w:p>
        </w:tc>
        <w:tc>
          <w:tcPr>
            <w:tcW w:w="6945" w:type="dxa"/>
          </w:tcPr>
          <w:p w14:paraId="5EE9D8EE" w14:textId="54A81BA8" w:rsidR="00182D83" w:rsidRPr="003A703B" w:rsidRDefault="00182D83" w:rsidP="00182D83">
            <w:pPr>
              <w:autoSpaceDE w:val="0"/>
              <w:autoSpaceDN w:val="0"/>
              <w:adjustRightInd w:val="0"/>
              <w:rPr>
                <w:color w:val="000000"/>
                <w:sz w:val="22"/>
                <w:szCs w:val="22"/>
              </w:rPr>
            </w:pPr>
            <w:r w:rsidRPr="002D393D">
              <w:rPr>
                <w:color w:val="000000"/>
                <w:sz w:val="22"/>
                <w:szCs w:val="22"/>
              </w:rPr>
              <w:t>Konferenčne in kongresne stavbe</w:t>
            </w:r>
          </w:p>
        </w:tc>
        <w:tc>
          <w:tcPr>
            <w:tcW w:w="1134" w:type="dxa"/>
          </w:tcPr>
          <w:p w14:paraId="4C3409A3" w14:textId="08D52E90" w:rsidR="00182D83" w:rsidRPr="003A703B" w:rsidRDefault="00182D83" w:rsidP="00182D83">
            <w:pPr>
              <w:jc w:val="right"/>
              <w:rPr>
                <w:sz w:val="22"/>
                <w:szCs w:val="22"/>
              </w:rPr>
            </w:pPr>
            <w:r w:rsidRPr="00274B6E">
              <w:rPr>
                <w:sz w:val="22"/>
                <w:szCs w:val="22"/>
              </w:rPr>
              <w:t>1,1</w:t>
            </w:r>
          </w:p>
        </w:tc>
      </w:tr>
      <w:tr w:rsidR="00A51EC9" w:rsidRPr="003A703B" w14:paraId="14537CE8" w14:textId="77777777" w:rsidTr="00A51EC9">
        <w:trPr>
          <w:trHeight w:val="290"/>
        </w:trPr>
        <w:tc>
          <w:tcPr>
            <w:tcW w:w="948" w:type="dxa"/>
          </w:tcPr>
          <w:p w14:paraId="26129332"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123</w:t>
            </w:r>
          </w:p>
        </w:tc>
        <w:tc>
          <w:tcPr>
            <w:tcW w:w="6945" w:type="dxa"/>
          </w:tcPr>
          <w:p w14:paraId="31A5A0CF"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Trgovske stavbe in stavbe za storitvene dejavnosti</w:t>
            </w:r>
          </w:p>
        </w:tc>
        <w:tc>
          <w:tcPr>
            <w:tcW w:w="1134" w:type="dxa"/>
          </w:tcPr>
          <w:p w14:paraId="3A16EF27" w14:textId="26EE91B8" w:rsidR="00A51EC9" w:rsidRPr="003A703B" w:rsidRDefault="0057548B" w:rsidP="00FF138E">
            <w:pPr>
              <w:jc w:val="right"/>
              <w:rPr>
                <w:sz w:val="22"/>
                <w:szCs w:val="22"/>
              </w:rPr>
            </w:pPr>
            <w:r w:rsidRPr="003A703B">
              <w:rPr>
                <w:sz w:val="22"/>
                <w:szCs w:val="22"/>
              </w:rPr>
              <w:t>1,1</w:t>
            </w:r>
          </w:p>
        </w:tc>
      </w:tr>
      <w:tr w:rsidR="00A51EC9" w:rsidRPr="003A703B" w14:paraId="2C8BFB9B" w14:textId="77777777" w:rsidTr="00A51EC9">
        <w:trPr>
          <w:trHeight w:val="290"/>
        </w:trPr>
        <w:tc>
          <w:tcPr>
            <w:tcW w:w="948" w:type="dxa"/>
          </w:tcPr>
          <w:p w14:paraId="61EB9BCF" w14:textId="77777777" w:rsidR="00A51EC9" w:rsidRPr="003A703B" w:rsidRDefault="00A51EC9" w:rsidP="00FF138E">
            <w:pPr>
              <w:autoSpaceDE w:val="0"/>
              <w:autoSpaceDN w:val="0"/>
              <w:adjustRightInd w:val="0"/>
              <w:rPr>
                <w:b/>
                <w:bCs/>
                <w:color w:val="000000"/>
                <w:sz w:val="22"/>
                <w:szCs w:val="22"/>
              </w:rPr>
            </w:pPr>
            <w:r w:rsidRPr="003A703B">
              <w:rPr>
                <w:sz w:val="22"/>
                <w:szCs w:val="22"/>
              </w:rPr>
              <w:t>12301</w:t>
            </w:r>
          </w:p>
        </w:tc>
        <w:tc>
          <w:tcPr>
            <w:tcW w:w="6945" w:type="dxa"/>
          </w:tcPr>
          <w:p w14:paraId="26C531A3" w14:textId="77777777" w:rsidR="00A51EC9" w:rsidRPr="003A703B" w:rsidRDefault="00A51EC9" w:rsidP="00FF138E">
            <w:pPr>
              <w:autoSpaceDE w:val="0"/>
              <w:autoSpaceDN w:val="0"/>
              <w:adjustRightInd w:val="0"/>
              <w:rPr>
                <w:b/>
                <w:bCs/>
                <w:color w:val="000000"/>
                <w:sz w:val="22"/>
                <w:szCs w:val="22"/>
              </w:rPr>
            </w:pPr>
            <w:r w:rsidRPr="003A703B">
              <w:rPr>
                <w:sz w:val="22"/>
                <w:szCs w:val="22"/>
              </w:rPr>
              <w:t>Trgovske stavbe</w:t>
            </w:r>
          </w:p>
        </w:tc>
        <w:tc>
          <w:tcPr>
            <w:tcW w:w="1134" w:type="dxa"/>
          </w:tcPr>
          <w:p w14:paraId="760E0118" w14:textId="6CF577AB" w:rsidR="00A51EC9" w:rsidRPr="003A703B" w:rsidRDefault="00A51EC9" w:rsidP="00FF138E">
            <w:pPr>
              <w:jc w:val="right"/>
              <w:rPr>
                <w:sz w:val="22"/>
                <w:szCs w:val="22"/>
              </w:rPr>
            </w:pPr>
            <w:r w:rsidRPr="003A703B">
              <w:rPr>
                <w:sz w:val="22"/>
                <w:szCs w:val="22"/>
              </w:rPr>
              <w:t>1,</w:t>
            </w:r>
            <w:r w:rsidR="0057548B" w:rsidRPr="003A703B">
              <w:rPr>
                <w:sz w:val="22"/>
                <w:szCs w:val="22"/>
              </w:rPr>
              <w:t>1</w:t>
            </w:r>
          </w:p>
        </w:tc>
      </w:tr>
      <w:tr w:rsidR="0057548B" w:rsidRPr="003A703B" w14:paraId="403081EA" w14:textId="77777777" w:rsidTr="00A51EC9">
        <w:trPr>
          <w:trHeight w:val="290"/>
        </w:trPr>
        <w:tc>
          <w:tcPr>
            <w:tcW w:w="948" w:type="dxa"/>
          </w:tcPr>
          <w:p w14:paraId="11402C73" w14:textId="77777777" w:rsidR="0057548B" w:rsidRPr="003A703B" w:rsidRDefault="0057548B" w:rsidP="0057548B">
            <w:pPr>
              <w:autoSpaceDE w:val="0"/>
              <w:autoSpaceDN w:val="0"/>
              <w:adjustRightInd w:val="0"/>
              <w:rPr>
                <w:b/>
                <w:bCs/>
                <w:color w:val="000000"/>
                <w:sz w:val="22"/>
                <w:szCs w:val="22"/>
              </w:rPr>
            </w:pPr>
            <w:r w:rsidRPr="003A703B">
              <w:rPr>
                <w:sz w:val="22"/>
                <w:szCs w:val="22"/>
              </w:rPr>
              <w:t>12302</w:t>
            </w:r>
          </w:p>
        </w:tc>
        <w:tc>
          <w:tcPr>
            <w:tcW w:w="6945" w:type="dxa"/>
          </w:tcPr>
          <w:p w14:paraId="65F5E1A9" w14:textId="77777777" w:rsidR="0057548B" w:rsidRPr="003A703B" w:rsidRDefault="0057548B" w:rsidP="0057548B">
            <w:pPr>
              <w:autoSpaceDE w:val="0"/>
              <w:autoSpaceDN w:val="0"/>
              <w:adjustRightInd w:val="0"/>
              <w:rPr>
                <w:b/>
                <w:bCs/>
                <w:color w:val="000000"/>
                <w:sz w:val="22"/>
                <w:szCs w:val="22"/>
              </w:rPr>
            </w:pPr>
            <w:r w:rsidRPr="003A703B">
              <w:rPr>
                <w:sz w:val="22"/>
                <w:szCs w:val="22"/>
              </w:rPr>
              <w:t>Sejemske dvorane, razstavišča</w:t>
            </w:r>
          </w:p>
        </w:tc>
        <w:tc>
          <w:tcPr>
            <w:tcW w:w="1134" w:type="dxa"/>
          </w:tcPr>
          <w:p w14:paraId="24DEFED7" w14:textId="2ED80EF7" w:rsidR="0057548B" w:rsidRPr="003A703B" w:rsidRDefault="0057548B" w:rsidP="0057548B">
            <w:pPr>
              <w:jc w:val="right"/>
              <w:rPr>
                <w:sz w:val="22"/>
                <w:szCs w:val="22"/>
              </w:rPr>
            </w:pPr>
            <w:r w:rsidRPr="003A703B">
              <w:rPr>
                <w:sz w:val="22"/>
                <w:szCs w:val="22"/>
              </w:rPr>
              <w:t>1,1</w:t>
            </w:r>
          </w:p>
        </w:tc>
      </w:tr>
      <w:tr w:rsidR="0057548B" w:rsidRPr="003A703B" w14:paraId="0658AA2F" w14:textId="77777777" w:rsidTr="00A51EC9">
        <w:trPr>
          <w:trHeight w:val="290"/>
        </w:trPr>
        <w:tc>
          <w:tcPr>
            <w:tcW w:w="948" w:type="dxa"/>
          </w:tcPr>
          <w:p w14:paraId="1FF4D689" w14:textId="77777777" w:rsidR="0057548B" w:rsidRPr="003A703B" w:rsidRDefault="0057548B" w:rsidP="0057548B">
            <w:pPr>
              <w:autoSpaceDE w:val="0"/>
              <w:autoSpaceDN w:val="0"/>
              <w:adjustRightInd w:val="0"/>
              <w:rPr>
                <w:b/>
                <w:bCs/>
                <w:color w:val="000000"/>
                <w:sz w:val="22"/>
                <w:szCs w:val="22"/>
              </w:rPr>
            </w:pPr>
            <w:r w:rsidRPr="003A703B">
              <w:rPr>
                <w:sz w:val="22"/>
                <w:szCs w:val="22"/>
              </w:rPr>
              <w:t>12303</w:t>
            </w:r>
          </w:p>
        </w:tc>
        <w:tc>
          <w:tcPr>
            <w:tcW w:w="6945" w:type="dxa"/>
          </w:tcPr>
          <w:p w14:paraId="0ED70829" w14:textId="21689644" w:rsidR="0057548B" w:rsidRPr="003A703B" w:rsidRDefault="00182D83" w:rsidP="0057548B">
            <w:pPr>
              <w:autoSpaceDE w:val="0"/>
              <w:autoSpaceDN w:val="0"/>
              <w:adjustRightInd w:val="0"/>
              <w:rPr>
                <w:b/>
                <w:bCs/>
                <w:color w:val="000000"/>
                <w:sz w:val="22"/>
                <w:szCs w:val="22"/>
              </w:rPr>
            </w:pPr>
            <w:r>
              <w:rPr>
                <w:sz w:val="22"/>
                <w:szCs w:val="22"/>
              </w:rPr>
              <w:t>Oskrbne postaje</w:t>
            </w:r>
          </w:p>
        </w:tc>
        <w:tc>
          <w:tcPr>
            <w:tcW w:w="1134" w:type="dxa"/>
          </w:tcPr>
          <w:p w14:paraId="6A60BDD2" w14:textId="08A72545" w:rsidR="0057548B" w:rsidRPr="003A703B" w:rsidRDefault="0057548B" w:rsidP="0057548B">
            <w:pPr>
              <w:jc w:val="right"/>
              <w:rPr>
                <w:sz w:val="22"/>
                <w:szCs w:val="22"/>
              </w:rPr>
            </w:pPr>
            <w:r w:rsidRPr="003A703B">
              <w:rPr>
                <w:sz w:val="22"/>
                <w:szCs w:val="22"/>
              </w:rPr>
              <w:t>1,</w:t>
            </w:r>
            <w:r w:rsidR="00942B57">
              <w:rPr>
                <w:sz w:val="22"/>
                <w:szCs w:val="22"/>
              </w:rPr>
              <w:t>3</w:t>
            </w:r>
          </w:p>
        </w:tc>
      </w:tr>
      <w:tr w:rsidR="0057548B" w:rsidRPr="003A703B" w14:paraId="5DA84ED0" w14:textId="77777777" w:rsidTr="00A51EC9">
        <w:trPr>
          <w:trHeight w:val="290"/>
        </w:trPr>
        <w:tc>
          <w:tcPr>
            <w:tcW w:w="948" w:type="dxa"/>
          </w:tcPr>
          <w:p w14:paraId="12858E91" w14:textId="77777777" w:rsidR="0057548B" w:rsidRPr="003A703B" w:rsidRDefault="0057548B" w:rsidP="0057548B">
            <w:pPr>
              <w:autoSpaceDE w:val="0"/>
              <w:autoSpaceDN w:val="0"/>
              <w:adjustRightInd w:val="0"/>
              <w:rPr>
                <w:b/>
                <w:bCs/>
                <w:color w:val="000000"/>
                <w:sz w:val="22"/>
                <w:szCs w:val="22"/>
              </w:rPr>
            </w:pPr>
            <w:r w:rsidRPr="003A703B">
              <w:rPr>
                <w:sz w:val="22"/>
                <w:szCs w:val="22"/>
              </w:rPr>
              <w:t>12304</w:t>
            </w:r>
          </w:p>
        </w:tc>
        <w:tc>
          <w:tcPr>
            <w:tcW w:w="6945" w:type="dxa"/>
          </w:tcPr>
          <w:p w14:paraId="28BAFAB6" w14:textId="593AD3F6" w:rsidR="0057548B" w:rsidRPr="003A703B" w:rsidRDefault="00182D83" w:rsidP="0057548B">
            <w:pPr>
              <w:autoSpaceDE w:val="0"/>
              <w:autoSpaceDN w:val="0"/>
              <w:adjustRightInd w:val="0"/>
              <w:rPr>
                <w:b/>
                <w:bCs/>
                <w:color w:val="000000"/>
                <w:sz w:val="22"/>
                <w:szCs w:val="22"/>
              </w:rPr>
            </w:pPr>
            <w:r>
              <w:rPr>
                <w:sz w:val="22"/>
                <w:szCs w:val="22"/>
              </w:rPr>
              <w:t>S</w:t>
            </w:r>
            <w:r w:rsidRPr="00182D83">
              <w:rPr>
                <w:sz w:val="22"/>
                <w:szCs w:val="22"/>
              </w:rPr>
              <w:t>tavbe za storitvene dejavnosti</w:t>
            </w:r>
          </w:p>
        </w:tc>
        <w:tc>
          <w:tcPr>
            <w:tcW w:w="1134" w:type="dxa"/>
          </w:tcPr>
          <w:p w14:paraId="2830EE23" w14:textId="7BDEA1B5" w:rsidR="0057548B" w:rsidRPr="003A703B" w:rsidRDefault="0057548B" w:rsidP="0057548B">
            <w:pPr>
              <w:jc w:val="right"/>
              <w:rPr>
                <w:sz w:val="22"/>
                <w:szCs w:val="22"/>
              </w:rPr>
            </w:pPr>
            <w:r w:rsidRPr="003A703B">
              <w:rPr>
                <w:sz w:val="22"/>
                <w:szCs w:val="22"/>
              </w:rPr>
              <w:t>1,1</w:t>
            </w:r>
          </w:p>
        </w:tc>
      </w:tr>
      <w:tr w:rsidR="0057548B" w:rsidRPr="003A703B" w14:paraId="1140E8AB" w14:textId="77777777" w:rsidTr="00A51EC9">
        <w:trPr>
          <w:trHeight w:val="290"/>
        </w:trPr>
        <w:tc>
          <w:tcPr>
            <w:tcW w:w="948" w:type="dxa"/>
          </w:tcPr>
          <w:p w14:paraId="1CE46332" w14:textId="77777777" w:rsidR="0057548B" w:rsidRPr="003A703B" w:rsidRDefault="0057548B" w:rsidP="0057548B">
            <w:pPr>
              <w:autoSpaceDE w:val="0"/>
              <w:autoSpaceDN w:val="0"/>
              <w:adjustRightInd w:val="0"/>
              <w:rPr>
                <w:b/>
                <w:bCs/>
                <w:color w:val="000000"/>
                <w:sz w:val="22"/>
                <w:szCs w:val="22"/>
              </w:rPr>
            </w:pPr>
            <w:r w:rsidRPr="003A703B">
              <w:rPr>
                <w:b/>
                <w:bCs/>
                <w:color w:val="000000"/>
                <w:sz w:val="22"/>
                <w:szCs w:val="22"/>
              </w:rPr>
              <w:t>124</w:t>
            </w:r>
          </w:p>
        </w:tc>
        <w:tc>
          <w:tcPr>
            <w:tcW w:w="6945" w:type="dxa"/>
          </w:tcPr>
          <w:p w14:paraId="00BE42A5" w14:textId="77777777" w:rsidR="0057548B" w:rsidRPr="003A703B" w:rsidRDefault="0057548B" w:rsidP="0057548B">
            <w:pPr>
              <w:autoSpaceDE w:val="0"/>
              <w:autoSpaceDN w:val="0"/>
              <w:adjustRightInd w:val="0"/>
              <w:rPr>
                <w:b/>
                <w:bCs/>
                <w:color w:val="000000"/>
                <w:sz w:val="22"/>
                <w:szCs w:val="22"/>
              </w:rPr>
            </w:pPr>
            <w:r w:rsidRPr="003A703B">
              <w:rPr>
                <w:b/>
                <w:bCs/>
                <w:color w:val="000000"/>
                <w:sz w:val="22"/>
                <w:szCs w:val="22"/>
              </w:rPr>
              <w:t>Stavbe za promet in stavbe za izvajanje komunikacij</w:t>
            </w:r>
          </w:p>
        </w:tc>
        <w:tc>
          <w:tcPr>
            <w:tcW w:w="1134" w:type="dxa"/>
          </w:tcPr>
          <w:p w14:paraId="1E0F6060" w14:textId="5BEFFA18" w:rsidR="0057548B" w:rsidRPr="003A703B" w:rsidRDefault="0057548B" w:rsidP="0057548B">
            <w:pPr>
              <w:jc w:val="right"/>
              <w:rPr>
                <w:sz w:val="22"/>
                <w:szCs w:val="22"/>
              </w:rPr>
            </w:pPr>
            <w:r w:rsidRPr="003A703B">
              <w:rPr>
                <w:sz w:val="22"/>
                <w:szCs w:val="22"/>
              </w:rPr>
              <w:t>1,1</w:t>
            </w:r>
          </w:p>
        </w:tc>
      </w:tr>
      <w:tr w:rsidR="0057548B" w:rsidRPr="003A703B" w14:paraId="4AF03188" w14:textId="77777777" w:rsidTr="00A51EC9">
        <w:trPr>
          <w:trHeight w:val="290"/>
        </w:trPr>
        <w:tc>
          <w:tcPr>
            <w:tcW w:w="948" w:type="dxa"/>
          </w:tcPr>
          <w:p w14:paraId="022AA1D2" w14:textId="77777777" w:rsidR="0057548B" w:rsidRPr="003A703B" w:rsidRDefault="0057548B" w:rsidP="0057548B">
            <w:pPr>
              <w:autoSpaceDE w:val="0"/>
              <w:autoSpaceDN w:val="0"/>
              <w:adjustRightInd w:val="0"/>
              <w:rPr>
                <w:color w:val="000000"/>
                <w:sz w:val="22"/>
                <w:szCs w:val="22"/>
              </w:rPr>
            </w:pPr>
            <w:r w:rsidRPr="003A703B">
              <w:rPr>
                <w:color w:val="000000"/>
                <w:sz w:val="22"/>
                <w:szCs w:val="22"/>
              </w:rPr>
              <w:t>1241</w:t>
            </w:r>
          </w:p>
        </w:tc>
        <w:tc>
          <w:tcPr>
            <w:tcW w:w="6945" w:type="dxa"/>
          </w:tcPr>
          <w:p w14:paraId="388EA385" w14:textId="77777777" w:rsidR="0057548B" w:rsidRPr="003A703B" w:rsidRDefault="0057548B" w:rsidP="0057548B">
            <w:pPr>
              <w:autoSpaceDE w:val="0"/>
              <w:autoSpaceDN w:val="0"/>
              <w:adjustRightInd w:val="0"/>
              <w:rPr>
                <w:color w:val="000000"/>
                <w:sz w:val="22"/>
                <w:szCs w:val="22"/>
              </w:rPr>
            </w:pPr>
            <w:r w:rsidRPr="003A703B">
              <w:rPr>
                <w:color w:val="000000"/>
                <w:sz w:val="22"/>
                <w:szCs w:val="22"/>
              </w:rPr>
              <w:t>Postajna poslopja, terminali, stavbe za izvajanje komunikacij ter z njimi povezane stavbe</w:t>
            </w:r>
          </w:p>
        </w:tc>
        <w:tc>
          <w:tcPr>
            <w:tcW w:w="1134" w:type="dxa"/>
          </w:tcPr>
          <w:p w14:paraId="532401EE" w14:textId="4582EB67" w:rsidR="0057548B" w:rsidRPr="003A703B" w:rsidRDefault="0057548B" w:rsidP="0057548B">
            <w:pPr>
              <w:jc w:val="right"/>
              <w:rPr>
                <w:sz w:val="22"/>
                <w:szCs w:val="22"/>
              </w:rPr>
            </w:pPr>
            <w:r w:rsidRPr="003A703B">
              <w:rPr>
                <w:sz w:val="22"/>
                <w:szCs w:val="22"/>
              </w:rPr>
              <w:t>1,1</w:t>
            </w:r>
          </w:p>
        </w:tc>
      </w:tr>
      <w:tr w:rsidR="00A51EC9" w:rsidRPr="003A703B" w14:paraId="250E4B27" w14:textId="77777777" w:rsidTr="00A51EC9">
        <w:trPr>
          <w:trHeight w:val="290"/>
        </w:trPr>
        <w:tc>
          <w:tcPr>
            <w:tcW w:w="948" w:type="dxa"/>
          </w:tcPr>
          <w:p w14:paraId="7BA90B50" w14:textId="77777777" w:rsidR="00A51EC9" w:rsidRPr="003A703B" w:rsidRDefault="00A51EC9" w:rsidP="00FF138E">
            <w:pPr>
              <w:autoSpaceDE w:val="0"/>
              <w:autoSpaceDN w:val="0"/>
              <w:adjustRightInd w:val="0"/>
              <w:rPr>
                <w:color w:val="000000"/>
                <w:sz w:val="22"/>
                <w:szCs w:val="22"/>
              </w:rPr>
            </w:pPr>
            <w:r w:rsidRPr="003A703B">
              <w:rPr>
                <w:color w:val="000000"/>
                <w:sz w:val="22"/>
                <w:szCs w:val="22"/>
              </w:rPr>
              <w:t>1242</w:t>
            </w:r>
          </w:p>
        </w:tc>
        <w:tc>
          <w:tcPr>
            <w:tcW w:w="6945" w:type="dxa"/>
          </w:tcPr>
          <w:p w14:paraId="1F240542" w14:textId="77777777" w:rsidR="00A51EC9" w:rsidRPr="003A703B" w:rsidRDefault="00A51EC9" w:rsidP="00FF138E">
            <w:pPr>
              <w:autoSpaceDE w:val="0"/>
              <w:autoSpaceDN w:val="0"/>
              <w:adjustRightInd w:val="0"/>
              <w:rPr>
                <w:color w:val="000000"/>
                <w:sz w:val="22"/>
                <w:szCs w:val="22"/>
              </w:rPr>
            </w:pPr>
            <w:r w:rsidRPr="003A703B">
              <w:rPr>
                <w:color w:val="000000"/>
                <w:sz w:val="22"/>
                <w:szCs w:val="22"/>
              </w:rPr>
              <w:t>Garažne stavbe</w:t>
            </w:r>
          </w:p>
        </w:tc>
        <w:tc>
          <w:tcPr>
            <w:tcW w:w="1134" w:type="dxa"/>
          </w:tcPr>
          <w:p w14:paraId="43EA7EEE" w14:textId="0714EC30" w:rsidR="00A51EC9" w:rsidRPr="003A703B" w:rsidRDefault="00A51EC9" w:rsidP="00FF138E">
            <w:pPr>
              <w:jc w:val="right"/>
              <w:rPr>
                <w:sz w:val="22"/>
                <w:szCs w:val="22"/>
              </w:rPr>
            </w:pPr>
            <w:r w:rsidRPr="003A703B">
              <w:rPr>
                <w:sz w:val="22"/>
                <w:szCs w:val="22"/>
              </w:rPr>
              <w:t>1,</w:t>
            </w:r>
            <w:r w:rsidR="00C94F32">
              <w:rPr>
                <w:sz w:val="22"/>
                <w:szCs w:val="22"/>
              </w:rPr>
              <w:t>1</w:t>
            </w:r>
          </w:p>
        </w:tc>
      </w:tr>
      <w:tr w:rsidR="00A51EC9" w:rsidRPr="003A703B" w14:paraId="06C52FDB" w14:textId="77777777" w:rsidTr="00A51EC9">
        <w:trPr>
          <w:trHeight w:val="290"/>
        </w:trPr>
        <w:tc>
          <w:tcPr>
            <w:tcW w:w="948" w:type="dxa"/>
          </w:tcPr>
          <w:p w14:paraId="3065E2B2"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125</w:t>
            </w:r>
          </w:p>
        </w:tc>
        <w:tc>
          <w:tcPr>
            <w:tcW w:w="6945" w:type="dxa"/>
          </w:tcPr>
          <w:p w14:paraId="4FB6A419"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 xml:space="preserve">Industrijske in skladiščne stavbe </w:t>
            </w:r>
          </w:p>
        </w:tc>
        <w:tc>
          <w:tcPr>
            <w:tcW w:w="1134" w:type="dxa"/>
          </w:tcPr>
          <w:p w14:paraId="2CC24054" w14:textId="27A2AC3F" w:rsidR="00A51EC9" w:rsidRPr="003A703B" w:rsidRDefault="00A51EC9" w:rsidP="00FF138E">
            <w:pPr>
              <w:jc w:val="right"/>
              <w:rPr>
                <w:sz w:val="22"/>
                <w:szCs w:val="22"/>
              </w:rPr>
            </w:pPr>
          </w:p>
        </w:tc>
      </w:tr>
      <w:tr w:rsidR="00101779" w:rsidRPr="003A703B" w14:paraId="6AD88AEC" w14:textId="77777777" w:rsidTr="00A51EC9">
        <w:trPr>
          <w:trHeight w:val="290"/>
        </w:trPr>
        <w:tc>
          <w:tcPr>
            <w:tcW w:w="948" w:type="dxa"/>
          </w:tcPr>
          <w:p w14:paraId="6F9CA2E3" w14:textId="730AAECC" w:rsidR="00101779" w:rsidRPr="00101779" w:rsidRDefault="00101779" w:rsidP="00FF138E">
            <w:pPr>
              <w:autoSpaceDE w:val="0"/>
              <w:autoSpaceDN w:val="0"/>
              <w:adjustRightInd w:val="0"/>
              <w:rPr>
                <w:color w:val="000000"/>
                <w:sz w:val="22"/>
                <w:szCs w:val="22"/>
              </w:rPr>
            </w:pPr>
            <w:r w:rsidRPr="00101779">
              <w:rPr>
                <w:color w:val="000000"/>
                <w:sz w:val="22"/>
                <w:szCs w:val="22"/>
              </w:rPr>
              <w:t>1251</w:t>
            </w:r>
          </w:p>
        </w:tc>
        <w:tc>
          <w:tcPr>
            <w:tcW w:w="6945" w:type="dxa"/>
          </w:tcPr>
          <w:p w14:paraId="6721E0B0" w14:textId="414E7CB7" w:rsidR="00101779" w:rsidRPr="00101779" w:rsidRDefault="00101779" w:rsidP="00FF138E">
            <w:pPr>
              <w:autoSpaceDE w:val="0"/>
              <w:autoSpaceDN w:val="0"/>
              <w:adjustRightInd w:val="0"/>
              <w:rPr>
                <w:color w:val="000000"/>
                <w:sz w:val="22"/>
                <w:szCs w:val="22"/>
              </w:rPr>
            </w:pPr>
            <w:r w:rsidRPr="00101779">
              <w:rPr>
                <w:color w:val="000000"/>
                <w:sz w:val="22"/>
                <w:szCs w:val="22"/>
              </w:rPr>
              <w:t>Industrijske stavbe</w:t>
            </w:r>
          </w:p>
        </w:tc>
        <w:tc>
          <w:tcPr>
            <w:tcW w:w="1134" w:type="dxa"/>
          </w:tcPr>
          <w:p w14:paraId="19B5B474" w14:textId="44D51FFC" w:rsidR="00101779" w:rsidRPr="003A703B" w:rsidRDefault="00101779" w:rsidP="00FF138E">
            <w:pPr>
              <w:jc w:val="right"/>
              <w:rPr>
                <w:sz w:val="22"/>
                <w:szCs w:val="22"/>
              </w:rPr>
            </w:pPr>
            <w:r>
              <w:rPr>
                <w:sz w:val="22"/>
                <w:szCs w:val="22"/>
              </w:rPr>
              <w:t>1,1</w:t>
            </w:r>
          </w:p>
        </w:tc>
      </w:tr>
      <w:tr w:rsidR="00101779" w:rsidRPr="003A703B" w14:paraId="0BC53583" w14:textId="77777777" w:rsidTr="00A51EC9">
        <w:trPr>
          <w:trHeight w:val="290"/>
        </w:trPr>
        <w:tc>
          <w:tcPr>
            <w:tcW w:w="948" w:type="dxa"/>
          </w:tcPr>
          <w:p w14:paraId="3026EAD2" w14:textId="61D1CB4F" w:rsidR="00101779" w:rsidRPr="00101779" w:rsidRDefault="00101779" w:rsidP="00FF138E">
            <w:pPr>
              <w:autoSpaceDE w:val="0"/>
              <w:autoSpaceDN w:val="0"/>
              <w:adjustRightInd w:val="0"/>
              <w:rPr>
                <w:color w:val="000000"/>
                <w:sz w:val="22"/>
                <w:szCs w:val="22"/>
              </w:rPr>
            </w:pPr>
            <w:r w:rsidRPr="00101779">
              <w:rPr>
                <w:color w:val="000000"/>
                <w:sz w:val="22"/>
                <w:szCs w:val="22"/>
              </w:rPr>
              <w:t>1252</w:t>
            </w:r>
          </w:p>
        </w:tc>
        <w:tc>
          <w:tcPr>
            <w:tcW w:w="6945" w:type="dxa"/>
          </w:tcPr>
          <w:p w14:paraId="600B43DE" w14:textId="3487521C" w:rsidR="00101779" w:rsidRPr="00101779" w:rsidRDefault="00101779" w:rsidP="00FF138E">
            <w:pPr>
              <w:autoSpaceDE w:val="0"/>
              <w:autoSpaceDN w:val="0"/>
              <w:adjustRightInd w:val="0"/>
              <w:rPr>
                <w:color w:val="000000"/>
                <w:sz w:val="22"/>
                <w:szCs w:val="22"/>
              </w:rPr>
            </w:pPr>
            <w:r w:rsidRPr="00101779">
              <w:rPr>
                <w:color w:val="000000"/>
                <w:sz w:val="22"/>
                <w:szCs w:val="22"/>
              </w:rPr>
              <w:t>Rezervoarji, silosi in skladiščne stavbe</w:t>
            </w:r>
          </w:p>
        </w:tc>
        <w:tc>
          <w:tcPr>
            <w:tcW w:w="1134" w:type="dxa"/>
          </w:tcPr>
          <w:p w14:paraId="2B3783BA" w14:textId="38948F4E" w:rsidR="00101779" w:rsidRPr="003A703B" w:rsidRDefault="00101779" w:rsidP="00FF138E">
            <w:pPr>
              <w:jc w:val="right"/>
              <w:rPr>
                <w:sz w:val="22"/>
                <w:szCs w:val="22"/>
              </w:rPr>
            </w:pPr>
            <w:r>
              <w:rPr>
                <w:sz w:val="22"/>
                <w:szCs w:val="22"/>
              </w:rPr>
              <w:t>1,1</w:t>
            </w:r>
          </w:p>
        </w:tc>
      </w:tr>
      <w:tr w:rsidR="00A51EC9" w:rsidRPr="003A703B" w14:paraId="2496A3DA" w14:textId="77777777" w:rsidTr="00A51EC9">
        <w:trPr>
          <w:trHeight w:val="290"/>
        </w:trPr>
        <w:tc>
          <w:tcPr>
            <w:tcW w:w="948" w:type="dxa"/>
          </w:tcPr>
          <w:p w14:paraId="55C9A0BA"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126</w:t>
            </w:r>
          </w:p>
        </w:tc>
        <w:tc>
          <w:tcPr>
            <w:tcW w:w="6945" w:type="dxa"/>
          </w:tcPr>
          <w:p w14:paraId="3327D3F1"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Stavbe splošnega družbenega pomena</w:t>
            </w:r>
          </w:p>
        </w:tc>
        <w:tc>
          <w:tcPr>
            <w:tcW w:w="1134" w:type="dxa"/>
          </w:tcPr>
          <w:p w14:paraId="19FA8C43" w14:textId="77777777" w:rsidR="00A51EC9" w:rsidRPr="003A703B" w:rsidRDefault="00A51EC9" w:rsidP="00FF138E">
            <w:pPr>
              <w:jc w:val="right"/>
              <w:rPr>
                <w:sz w:val="22"/>
                <w:szCs w:val="22"/>
              </w:rPr>
            </w:pPr>
          </w:p>
        </w:tc>
      </w:tr>
      <w:tr w:rsidR="00CA52E4" w:rsidRPr="003A703B" w14:paraId="138E9039" w14:textId="77777777" w:rsidTr="00A51EC9">
        <w:trPr>
          <w:trHeight w:val="290"/>
        </w:trPr>
        <w:tc>
          <w:tcPr>
            <w:tcW w:w="948" w:type="dxa"/>
          </w:tcPr>
          <w:p w14:paraId="4218A27C" w14:textId="77777777" w:rsidR="00CA52E4" w:rsidRPr="003A703B" w:rsidRDefault="00CA52E4" w:rsidP="00CA52E4">
            <w:pPr>
              <w:autoSpaceDE w:val="0"/>
              <w:autoSpaceDN w:val="0"/>
              <w:adjustRightInd w:val="0"/>
              <w:rPr>
                <w:color w:val="000000"/>
                <w:sz w:val="22"/>
                <w:szCs w:val="22"/>
              </w:rPr>
            </w:pPr>
            <w:r w:rsidRPr="003A703B">
              <w:rPr>
                <w:color w:val="000000"/>
                <w:sz w:val="22"/>
                <w:szCs w:val="22"/>
              </w:rPr>
              <w:t>1261</w:t>
            </w:r>
          </w:p>
        </w:tc>
        <w:tc>
          <w:tcPr>
            <w:tcW w:w="6945" w:type="dxa"/>
          </w:tcPr>
          <w:p w14:paraId="461E430B" w14:textId="719CA499" w:rsidR="00CA52E4" w:rsidRPr="003A703B" w:rsidRDefault="00CA52E4" w:rsidP="00CA52E4">
            <w:pPr>
              <w:autoSpaceDE w:val="0"/>
              <w:autoSpaceDN w:val="0"/>
              <w:adjustRightInd w:val="0"/>
              <w:rPr>
                <w:color w:val="000000"/>
                <w:sz w:val="22"/>
                <w:szCs w:val="22"/>
              </w:rPr>
            </w:pPr>
            <w:r w:rsidRPr="003A703B">
              <w:rPr>
                <w:color w:val="000000"/>
                <w:sz w:val="22"/>
                <w:szCs w:val="22"/>
              </w:rPr>
              <w:t>Stavbe za kulturo in razvedrilo</w:t>
            </w:r>
          </w:p>
        </w:tc>
        <w:tc>
          <w:tcPr>
            <w:tcW w:w="1134" w:type="dxa"/>
          </w:tcPr>
          <w:p w14:paraId="11FEC83A" w14:textId="7A3D8B54" w:rsidR="00CA52E4" w:rsidRPr="003A703B" w:rsidRDefault="00942B57" w:rsidP="00CA52E4">
            <w:pPr>
              <w:jc w:val="right"/>
              <w:rPr>
                <w:sz w:val="22"/>
                <w:szCs w:val="22"/>
              </w:rPr>
            </w:pPr>
            <w:r>
              <w:rPr>
                <w:sz w:val="22"/>
                <w:szCs w:val="22"/>
              </w:rPr>
              <w:t>1,1</w:t>
            </w:r>
          </w:p>
        </w:tc>
      </w:tr>
      <w:tr w:rsidR="00CA52E4" w:rsidRPr="003A703B" w14:paraId="0974CDB2" w14:textId="77777777" w:rsidTr="00A51EC9">
        <w:trPr>
          <w:trHeight w:val="290"/>
        </w:trPr>
        <w:tc>
          <w:tcPr>
            <w:tcW w:w="948" w:type="dxa"/>
          </w:tcPr>
          <w:p w14:paraId="5F3F8663" w14:textId="77777777" w:rsidR="00CA52E4" w:rsidRPr="003A703B" w:rsidRDefault="00CA52E4" w:rsidP="00CA52E4">
            <w:pPr>
              <w:autoSpaceDE w:val="0"/>
              <w:autoSpaceDN w:val="0"/>
              <w:adjustRightInd w:val="0"/>
              <w:rPr>
                <w:color w:val="000000"/>
                <w:sz w:val="22"/>
                <w:szCs w:val="22"/>
              </w:rPr>
            </w:pPr>
            <w:r w:rsidRPr="003A703B">
              <w:rPr>
                <w:sz w:val="22"/>
                <w:szCs w:val="22"/>
              </w:rPr>
              <w:t>1262</w:t>
            </w:r>
          </w:p>
        </w:tc>
        <w:tc>
          <w:tcPr>
            <w:tcW w:w="6945" w:type="dxa"/>
          </w:tcPr>
          <w:p w14:paraId="23138033" w14:textId="77777777" w:rsidR="00CA52E4" w:rsidRPr="003A703B" w:rsidRDefault="00CA52E4" w:rsidP="00CA52E4">
            <w:pPr>
              <w:autoSpaceDE w:val="0"/>
              <w:autoSpaceDN w:val="0"/>
              <w:adjustRightInd w:val="0"/>
              <w:rPr>
                <w:color w:val="000000"/>
                <w:sz w:val="22"/>
                <w:szCs w:val="22"/>
              </w:rPr>
            </w:pPr>
            <w:r w:rsidRPr="003A703B">
              <w:rPr>
                <w:sz w:val="22"/>
                <w:szCs w:val="22"/>
              </w:rPr>
              <w:t>Muzeji, arhivi in knjižnice</w:t>
            </w:r>
          </w:p>
        </w:tc>
        <w:tc>
          <w:tcPr>
            <w:tcW w:w="1134" w:type="dxa"/>
          </w:tcPr>
          <w:p w14:paraId="3E29DE26" w14:textId="35671D97" w:rsidR="00CA52E4" w:rsidRPr="003A703B" w:rsidRDefault="00CA52E4" w:rsidP="00CA52E4">
            <w:pPr>
              <w:jc w:val="right"/>
              <w:rPr>
                <w:sz w:val="22"/>
                <w:szCs w:val="22"/>
              </w:rPr>
            </w:pPr>
            <w:r w:rsidRPr="00D0042A">
              <w:rPr>
                <w:sz w:val="22"/>
                <w:szCs w:val="22"/>
              </w:rPr>
              <w:t>0,7</w:t>
            </w:r>
          </w:p>
        </w:tc>
      </w:tr>
      <w:tr w:rsidR="00CA52E4" w:rsidRPr="003A703B" w14:paraId="118C982F" w14:textId="77777777" w:rsidTr="00A51EC9">
        <w:trPr>
          <w:trHeight w:val="290"/>
        </w:trPr>
        <w:tc>
          <w:tcPr>
            <w:tcW w:w="948" w:type="dxa"/>
          </w:tcPr>
          <w:p w14:paraId="6103EC3F" w14:textId="77777777" w:rsidR="00CA52E4" w:rsidRPr="003A703B" w:rsidRDefault="00CA52E4" w:rsidP="00CA52E4">
            <w:pPr>
              <w:autoSpaceDE w:val="0"/>
              <w:autoSpaceDN w:val="0"/>
              <w:adjustRightInd w:val="0"/>
              <w:rPr>
                <w:sz w:val="22"/>
                <w:szCs w:val="22"/>
              </w:rPr>
            </w:pPr>
            <w:r w:rsidRPr="003A703B">
              <w:rPr>
                <w:sz w:val="22"/>
                <w:szCs w:val="22"/>
              </w:rPr>
              <w:t>1263</w:t>
            </w:r>
          </w:p>
        </w:tc>
        <w:tc>
          <w:tcPr>
            <w:tcW w:w="6945" w:type="dxa"/>
          </w:tcPr>
          <w:p w14:paraId="6E8B0AC5" w14:textId="77777777" w:rsidR="00CA52E4" w:rsidRPr="003A703B" w:rsidRDefault="00CA52E4" w:rsidP="00CA52E4">
            <w:pPr>
              <w:autoSpaceDE w:val="0"/>
              <w:autoSpaceDN w:val="0"/>
              <w:adjustRightInd w:val="0"/>
              <w:rPr>
                <w:sz w:val="22"/>
                <w:szCs w:val="22"/>
              </w:rPr>
            </w:pPr>
            <w:r w:rsidRPr="003A703B">
              <w:rPr>
                <w:sz w:val="22"/>
                <w:szCs w:val="22"/>
              </w:rPr>
              <w:t>Stavbe za izobraževanje in znanstvenoraziskovalno delo</w:t>
            </w:r>
          </w:p>
        </w:tc>
        <w:tc>
          <w:tcPr>
            <w:tcW w:w="1134" w:type="dxa"/>
          </w:tcPr>
          <w:p w14:paraId="67291842" w14:textId="69667949" w:rsidR="00CA52E4" w:rsidRPr="003A703B" w:rsidRDefault="00CA52E4" w:rsidP="00CA52E4">
            <w:pPr>
              <w:jc w:val="right"/>
              <w:rPr>
                <w:sz w:val="22"/>
                <w:szCs w:val="22"/>
              </w:rPr>
            </w:pPr>
            <w:r w:rsidRPr="00D0042A">
              <w:rPr>
                <w:sz w:val="22"/>
                <w:szCs w:val="22"/>
              </w:rPr>
              <w:t>0,7</w:t>
            </w:r>
          </w:p>
        </w:tc>
      </w:tr>
      <w:tr w:rsidR="00CA52E4" w:rsidRPr="003A703B" w14:paraId="4169687C" w14:textId="77777777" w:rsidTr="00A51EC9">
        <w:trPr>
          <w:trHeight w:val="290"/>
        </w:trPr>
        <w:tc>
          <w:tcPr>
            <w:tcW w:w="948" w:type="dxa"/>
          </w:tcPr>
          <w:p w14:paraId="59B71079" w14:textId="77777777" w:rsidR="00CA52E4" w:rsidRPr="003A703B" w:rsidRDefault="00CA52E4" w:rsidP="00CA52E4">
            <w:pPr>
              <w:autoSpaceDE w:val="0"/>
              <w:autoSpaceDN w:val="0"/>
              <w:adjustRightInd w:val="0"/>
              <w:rPr>
                <w:sz w:val="22"/>
                <w:szCs w:val="22"/>
              </w:rPr>
            </w:pPr>
            <w:r w:rsidRPr="003A703B">
              <w:rPr>
                <w:sz w:val="22"/>
                <w:szCs w:val="22"/>
              </w:rPr>
              <w:t>1264</w:t>
            </w:r>
          </w:p>
        </w:tc>
        <w:tc>
          <w:tcPr>
            <w:tcW w:w="6945" w:type="dxa"/>
          </w:tcPr>
          <w:p w14:paraId="5EFFE425" w14:textId="77777777" w:rsidR="00CA52E4" w:rsidRPr="003A703B" w:rsidRDefault="00CA52E4" w:rsidP="00CA52E4">
            <w:pPr>
              <w:autoSpaceDE w:val="0"/>
              <w:autoSpaceDN w:val="0"/>
              <w:adjustRightInd w:val="0"/>
              <w:rPr>
                <w:sz w:val="22"/>
                <w:szCs w:val="22"/>
              </w:rPr>
            </w:pPr>
            <w:r w:rsidRPr="003A703B">
              <w:rPr>
                <w:sz w:val="22"/>
                <w:szCs w:val="22"/>
              </w:rPr>
              <w:t>Stavbe za zdravstveno oskrbo</w:t>
            </w:r>
          </w:p>
        </w:tc>
        <w:tc>
          <w:tcPr>
            <w:tcW w:w="1134" w:type="dxa"/>
          </w:tcPr>
          <w:p w14:paraId="19E058C1" w14:textId="7952538F" w:rsidR="00CA52E4" w:rsidRPr="003A703B" w:rsidRDefault="00A102A9" w:rsidP="00CA52E4">
            <w:pPr>
              <w:jc w:val="right"/>
              <w:rPr>
                <w:sz w:val="22"/>
                <w:szCs w:val="22"/>
              </w:rPr>
            </w:pPr>
            <w:r>
              <w:rPr>
                <w:sz w:val="22"/>
                <w:szCs w:val="22"/>
              </w:rPr>
              <w:t>1,0</w:t>
            </w:r>
          </w:p>
        </w:tc>
      </w:tr>
      <w:tr w:rsidR="00CA52E4" w:rsidRPr="003A703B" w14:paraId="7CB9CC16" w14:textId="77777777" w:rsidTr="00A51EC9">
        <w:trPr>
          <w:trHeight w:val="290"/>
        </w:trPr>
        <w:tc>
          <w:tcPr>
            <w:tcW w:w="948" w:type="dxa"/>
          </w:tcPr>
          <w:p w14:paraId="03DA2F2C" w14:textId="77777777" w:rsidR="00CA52E4" w:rsidRPr="003A703B" w:rsidRDefault="00CA52E4" w:rsidP="00CA52E4">
            <w:pPr>
              <w:autoSpaceDE w:val="0"/>
              <w:autoSpaceDN w:val="0"/>
              <w:adjustRightInd w:val="0"/>
              <w:rPr>
                <w:sz w:val="22"/>
                <w:szCs w:val="22"/>
              </w:rPr>
            </w:pPr>
            <w:r w:rsidRPr="003A703B">
              <w:rPr>
                <w:sz w:val="22"/>
                <w:szCs w:val="22"/>
              </w:rPr>
              <w:t>1265</w:t>
            </w:r>
          </w:p>
        </w:tc>
        <w:tc>
          <w:tcPr>
            <w:tcW w:w="6945" w:type="dxa"/>
          </w:tcPr>
          <w:p w14:paraId="64506175" w14:textId="77777777" w:rsidR="00CA52E4" w:rsidRPr="003A703B" w:rsidRDefault="00CA52E4" w:rsidP="00CA52E4">
            <w:pPr>
              <w:autoSpaceDE w:val="0"/>
              <w:autoSpaceDN w:val="0"/>
              <w:adjustRightInd w:val="0"/>
              <w:rPr>
                <w:sz w:val="22"/>
                <w:szCs w:val="22"/>
              </w:rPr>
            </w:pPr>
            <w:r w:rsidRPr="003A703B">
              <w:rPr>
                <w:sz w:val="22"/>
                <w:szCs w:val="22"/>
              </w:rPr>
              <w:t>Stavbe za šport</w:t>
            </w:r>
          </w:p>
        </w:tc>
        <w:tc>
          <w:tcPr>
            <w:tcW w:w="1134" w:type="dxa"/>
          </w:tcPr>
          <w:p w14:paraId="7AB7A15D" w14:textId="7F450116" w:rsidR="00CA52E4" w:rsidRPr="003A703B" w:rsidRDefault="00A102A9" w:rsidP="00CA52E4">
            <w:pPr>
              <w:jc w:val="right"/>
              <w:rPr>
                <w:sz w:val="22"/>
                <w:szCs w:val="22"/>
              </w:rPr>
            </w:pPr>
            <w:r>
              <w:rPr>
                <w:sz w:val="22"/>
                <w:szCs w:val="22"/>
              </w:rPr>
              <w:t>1,0</w:t>
            </w:r>
          </w:p>
        </w:tc>
      </w:tr>
      <w:tr w:rsidR="00A51EC9" w:rsidRPr="003A703B" w14:paraId="70857AD5" w14:textId="77777777" w:rsidTr="004F2993">
        <w:trPr>
          <w:trHeight w:val="331"/>
        </w:trPr>
        <w:tc>
          <w:tcPr>
            <w:tcW w:w="948" w:type="dxa"/>
          </w:tcPr>
          <w:p w14:paraId="7ED76DBC" w14:textId="77777777"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127</w:t>
            </w:r>
          </w:p>
        </w:tc>
        <w:tc>
          <w:tcPr>
            <w:tcW w:w="6945" w:type="dxa"/>
          </w:tcPr>
          <w:p w14:paraId="0C8DC1FD" w14:textId="41337054" w:rsidR="00A51EC9" w:rsidRPr="003A703B" w:rsidRDefault="00A51EC9" w:rsidP="00FF138E">
            <w:pPr>
              <w:autoSpaceDE w:val="0"/>
              <w:autoSpaceDN w:val="0"/>
              <w:adjustRightInd w:val="0"/>
              <w:rPr>
                <w:b/>
                <w:bCs/>
                <w:color w:val="000000"/>
                <w:sz w:val="22"/>
                <w:szCs w:val="22"/>
              </w:rPr>
            </w:pPr>
            <w:r w:rsidRPr="003A703B">
              <w:rPr>
                <w:b/>
                <w:bCs/>
                <w:color w:val="000000"/>
                <w:sz w:val="22"/>
                <w:szCs w:val="22"/>
              </w:rPr>
              <w:t xml:space="preserve">Druge </w:t>
            </w:r>
            <w:proofErr w:type="spellStart"/>
            <w:r w:rsidRPr="003A703B">
              <w:rPr>
                <w:b/>
                <w:bCs/>
                <w:color w:val="000000"/>
                <w:sz w:val="22"/>
                <w:szCs w:val="22"/>
              </w:rPr>
              <w:t>nestanovanjske</w:t>
            </w:r>
            <w:proofErr w:type="spellEnd"/>
            <w:r w:rsidRPr="003A703B">
              <w:rPr>
                <w:b/>
                <w:bCs/>
                <w:color w:val="000000"/>
                <w:sz w:val="22"/>
                <w:szCs w:val="22"/>
              </w:rPr>
              <w:t xml:space="preserve"> stavbe</w:t>
            </w:r>
          </w:p>
        </w:tc>
        <w:tc>
          <w:tcPr>
            <w:tcW w:w="1134" w:type="dxa"/>
          </w:tcPr>
          <w:p w14:paraId="3557CD58" w14:textId="77777777" w:rsidR="00A51EC9" w:rsidRPr="003A703B" w:rsidRDefault="00A51EC9" w:rsidP="00FF138E">
            <w:pPr>
              <w:jc w:val="right"/>
              <w:rPr>
                <w:sz w:val="22"/>
                <w:szCs w:val="22"/>
              </w:rPr>
            </w:pPr>
          </w:p>
        </w:tc>
      </w:tr>
      <w:tr w:rsidR="00A51EC9" w:rsidRPr="003A703B" w14:paraId="66A1C72E" w14:textId="77777777" w:rsidTr="00A51EC9">
        <w:trPr>
          <w:trHeight w:val="290"/>
        </w:trPr>
        <w:tc>
          <w:tcPr>
            <w:tcW w:w="948" w:type="dxa"/>
          </w:tcPr>
          <w:p w14:paraId="4BC626F4" w14:textId="77777777" w:rsidR="00A51EC9" w:rsidRPr="003A703B" w:rsidRDefault="00A51EC9" w:rsidP="00FF138E">
            <w:pPr>
              <w:autoSpaceDE w:val="0"/>
              <w:autoSpaceDN w:val="0"/>
              <w:adjustRightInd w:val="0"/>
              <w:rPr>
                <w:b/>
                <w:bCs/>
                <w:color w:val="000000"/>
                <w:sz w:val="22"/>
                <w:szCs w:val="22"/>
              </w:rPr>
            </w:pPr>
            <w:r w:rsidRPr="003A703B">
              <w:rPr>
                <w:sz w:val="22"/>
                <w:szCs w:val="22"/>
              </w:rPr>
              <w:t>1271</w:t>
            </w:r>
          </w:p>
        </w:tc>
        <w:tc>
          <w:tcPr>
            <w:tcW w:w="6945" w:type="dxa"/>
          </w:tcPr>
          <w:p w14:paraId="0BD135F0" w14:textId="77777777" w:rsidR="00A51EC9" w:rsidRPr="003A703B" w:rsidRDefault="00A51EC9" w:rsidP="00FF138E">
            <w:pPr>
              <w:autoSpaceDE w:val="0"/>
              <w:autoSpaceDN w:val="0"/>
              <w:adjustRightInd w:val="0"/>
              <w:rPr>
                <w:b/>
                <w:bCs/>
                <w:color w:val="000000"/>
                <w:sz w:val="22"/>
                <w:szCs w:val="22"/>
              </w:rPr>
            </w:pPr>
            <w:proofErr w:type="spellStart"/>
            <w:r w:rsidRPr="003A703B">
              <w:rPr>
                <w:sz w:val="22"/>
                <w:szCs w:val="22"/>
              </w:rPr>
              <w:t>Nestanovanjske</w:t>
            </w:r>
            <w:proofErr w:type="spellEnd"/>
            <w:r w:rsidRPr="003A703B">
              <w:rPr>
                <w:sz w:val="22"/>
                <w:szCs w:val="22"/>
              </w:rPr>
              <w:t xml:space="preserve"> kmetijske stavbe</w:t>
            </w:r>
          </w:p>
        </w:tc>
        <w:tc>
          <w:tcPr>
            <w:tcW w:w="1134" w:type="dxa"/>
          </w:tcPr>
          <w:p w14:paraId="740EDCC0" w14:textId="77777777" w:rsidR="00A51EC9" w:rsidRPr="003A703B" w:rsidRDefault="00A51EC9" w:rsidP="00FF138E">
            <w:pPr>
              <w:jc w:val="right"/>
              <w:rPr>
                <w:sz w:val="22"/>
                <w:szCs w:val="22"/>
              </w:rPr>
            </w:pPr>
            <w:r w:rsidRPr="003A703B">
              <w:rPr>
                <w:sz w:val="22"/>
                <w:szCs w:val="22"/>
              </w:rPr>
              <w:t>0,5</w:t>
            </w:r>
          </w:p>
        </w:tc>
      </w:tr>
      <w:tr w:rsidR="00F044B9" w:rsidRPr="003A703B" w14:paraId="47042AFD" w14:textId="77777777" w:rsidTr="00A51EC9">
        <w:trPr>
          <w:trHeight w:val="290"/>
        </w:trPr>
        <w:tc>
          <w:tcPr>
            <w:tcW w:w="948" w:type="dxa"/>
          </w:tcPr>
          <w:p w14:paraId="7D78AF6A" w14:textId="1331081C" w:rsidR="00F044B9" w:rsidRPr="003A703B" w:rsidRDefault="00F044B9" w:rsidP="00FF138E">
            <w:pPr>
              <w:autoSpaceDE w:val="0"/>
              <w:autoSpaceDN w:val="0"/>
              <w:adjustRightInd w:val="0"/>
              <w:rPr>
                <w:sz w:val="22"/>
                <w:szCs w:val="22"/>
              </w:rPr>
            </w:pPr>
            <w:r>
              <w:rPr>
                <w:sz w:val="22"/>
                <w:szCs w:val="22"/>
              </w:rPr>
              <w:t>12721</w:t>
            </w:r>
          </w:p>
        </w:tc>
        <w:tc>
          <w:tcPr>
            <w:tcW w:w="6945" w:type="dxa"/>
          </w:tcPr>
          <w:p w14:paraId="19EE7AF5" w14:textId="2FE71205" w:rsidR="00F044B9" w:rsidRPr="003A703B" w:rsidRDefault="00F044B9" w:rsidP="00F044B9">
            <w:pPr>
              <w:autoSpaceDE w:val="0"/>
              <w:autoSpaceDN w:val="0"/>
              <w:adjustRightInd w:val="0"/>
              <w:rPr>
                <w:sz w:val="22"/>
                <w:szCs w:val="22"/>
              </w:rPr>
            </w:pPr>
            <w:r w:rsidRPr="00F044B9">
              <w:rPr>
                <w:sz w:val="22"/>
                <w:szCs w:val="22"/>
              </w:rPr>
              <w:t>Stavbe za opravljanje verskih obredov</w:t>
            </w:r>
          </w:p>
        </w:tc>
        <w:tc>
          <w:tcPr>
            <w:tcW w:w="1134" w:type="dxa"/>
          </w:tcPr>
          <w:p w14:paraId="6CEFCFCF" w14:textId="23C7626B" w:rsidR="00F044B9" w:rsidRPr="003A703B" w:rsidRDefault="00B06922" w:rsidP="00FF138E">
            <w:pPr>
              <w:jc w:val="right"/>
              <w:rPr>
                <w:sz w:val="22"/>
                <w:szCs w:val="22"/>
              </w:rPr>
            </w:pPr>
            <w:r>
              <w:rPr>
                <w:sz w:val="22"/>
                <w:szCs w:val="22"/>
              </w:rPr>
              <w:t>0,8</w:t>
            </w:r>
          </w:p>
        </w:tc>
      </w:tr>
      <w:tr w:rsidR="00A51EC9" w:rsidRPr="003A703B" w14:paraId="0FE28BD6" w14:textId="77777777" w:rsidTr="00A51EC9">
        <w:trPr>
          <w:trHeight w:val="290"/>
        </w:trPr>
        <w:tc>
          <w:tcPr>
            <w:tcW w:w="948" w:type="dxa"/>
          </w:tcPr>
          <w:p w14:paraId="4A967E4D" w14:textId="28489E0A" w:rsidR="00A51EC9" w:rsidRPr="003A703B" w:rsidRDefault="00A51EC9" w:rsidP="00FF138E">
            <w:pPr>
              <w:autoSpaceDE w:val="0"/>
              <w:autoSpaceDN w:val="0"/>
              <w:adjustRightInd w:val="0"/>
              <w:rPr>
                <w:color w:val="000000"/>
                <w:sz w:val="22"/>
                <w:szCs w:val="22"/>
              </w:rPr>
            </w:pPr>
            <w:r w:rsidRPr="003A703B">
              <w:rPr>
                <w:color w:val="000000"/>
                <w:sz w:val="22"/>
                <w:szCs w:val="22"/>
              </w:rPr>
              <w:t>1274</w:t>
            </w:r>
            <w:r w:rsidR="004F2993">
              <w:rPr>
                <w:color w:val="000000"/>
                <w:sz w:val="22"/>
                <w:szCs w:val="22"/>
              </w:rPr>
              <w:t>4</w:t>
            </w:r>
          </w:p>
        </w:tc>
        <w:tc>
          <w:tcPr>
            <w:tcW w:w="6945" w:type="dxa"/>
          </w:tcPr>
          <w:p w14:paraId="0A782399" w14:textId="26F5CD82" w:rsidR="00A51EC9" w:rsidRPr="003A703B" w:rsidRDefault="004D59FC" w:rsidP="00FF138E">
            <w:pPr>
              <w:autoSpaceDE w:val="0"/>
              <w:autoSpaceDN w:val="0"/>
              <w:adjustRightInd w:val="0"/>
              <w:rPr>
                <w:color w:val="000000"/>
                <w:sz w:val="22"/>
                <w:szCs w:val="22"/>
              </w:rPr>
            </w:pPr>
            <w:r>
              <w:rPr>
                <w:sz w:val="22"/>
                <w:szCs w:val="22"/>
              </w:rPr>
              <w:t>Sanitarije</w:t>
            </w:r>
          </w:p>
        </w:tc>
        <w:tc>
          <w:tcPr>
            <w:tcW w:w="1134" w:type="dxa"/>
          </w:tcPr>
          <w:p w14:paraId="3DFA4CF8" w14:textId="4DB040C4" w:rsidR="00A51EC9" w:rsidRPr="003A703B" w:rsidRDefault="00A51EC9" w:rsidP="00FF138E">
            <w:pPr>
              <w:jc w:val="right"/>
              <w:rPr>
                <w:sz w:val="22"/>
                <w:szCs w:val="22"/>
                <w:highlight w:val="yellow"/>
              </w:rPr>
            </w:pPr>
            <w:r w:rsidRPr="003A703B">
              <w:rPr>
                <w:sz w:val="22"/>
                <w:szCs w:val="22"/>
              </w:rPr>
              <w:t>1</w:t>
            </w:r>
            <w:r w:rsidR="004D59FC">
              <w:rPr>
                <w:sz w:val="22"/>
                <w:szCs w:val="22"/>
              </w:rPr>
              <w:t>,0</w:t>
            </w:r>
          </w:p>
        </w:tc>
      </w:tr>
      <w:tr w:rsidR="004D59FC" w:rsidRPr="003A703B" w14:paraId="31669B9E" w14:textId="77777777" w:rsidTr="00A51EC9">
        <w:trPr>
          <w:trHeight w:val="290"/>
        </w:trPr>
        <w:tc>
          <w:tcPr>
            <w:tcW w:w="948" w:type="dxa"/>
          </w:tcPr>
          <w:p w14:paraId="38C1CF82" w14:textId="6163BD19" w:rsidR="004D59FC" w:rsidRPr="003A703B" w:rsidRDefault="004D59FC" w:rsidP="004D59FC">
            <w:pPr>
              <w:autoSpaceDE w:val="0"/>
              <w:autoSpaceDN w:val="0"/>
              <w:adjustRightInd w:val="0"/>
              <w:rPr>
                <w:color w:val="000000"/>
                <w:sz w:val="22"/>
                <w:szCs w:val="22"/>
              </w:rPr>
            </w:pPr>
            <w:r w:rsidRPr="003A703B">
              <w:rPr>
                <w:color w:val="000000"/>
                <w:sz w:val="22"/>
                <w:szCs w:val="22"/>
              </w:rPr>
              <w:t>1274</w:t>
            </w:r>
            <w:r>
              <w:rPr>
                <w:color w:val="000000"/>
                <w:sz w:val="22"/>
                <w:szCs w:val="22"/>
              </w:rPr>
              <w:t>5</w:t>
            </w:r>
          </w:p>
        </w:tc>
        <w:tc>
          <w:tcPr>
            <w:tcW w:w="6945" w:type="dxa"/>
          </w:tcPr>
          <w:p w14:paraId="7E427FAC" w14:textId="07F23B10" w:rsidR="004D59FC" w:rsidRPr="003A703B" w:rsidRDefault="004D59FC" w:rsidP="004D59FC">
            <w:pPr>
              <w:autoSpaceDE w:val="0"/>
              <w:autoSpaceDN w:val="0"/>
              <w:adjustRightInd w:val="0"/>
              <w:rPr>
                <w:sz w:val="22"/>
                <w:szCs w:val="22"/>
              </w:rPr>
            </w:pPr>
            <w:r w:rsidRPr="004D59FC">
              <w:rPr>
                <w:sz w:val="22"/>
                <w:szCs w:val="22"/>
              </w:rPr>
              <w:t>Stavbe za funkcionalno dopolnitev</w:t>
            </w:r>
          </w:p>
        </w:tc>
        <w:tc>
          <w:tcPr>
            <w:tcW w:w="1134" w:type="dxa"/>
          </w:tcPr>
          <w:p w14:paraId="5828D455" w14:textId="7F3FF8EA" w:rsidR="004D59FC" w:rsidRPr="003A703B" w:rsidRDefault="004D59FC" w:rsidP="004D59FC">
            <w:pPr>
              <w:jc w:val="right"/>
              <w:rPr>
                <w:sz w:val="22"/>
                <w:szCs w:val="22"/>
              </w:rPr>
            </w:pPr>
            <w:r w:rsidRPr="003A703B">
              <w:rPr>
                <w:sz w:val="22"/>
                <w:szCs w:val="22"/>
              </w:rPr>
              <w:t>1</w:t>
            </w:r>
            <w:r>
              <w:rPr>
                <w:sz w:val="22"/>
                <w:szCs w:val="22"/>
              </w:rPr>
              <w:t>,0</w:t>
            </w:r>
          </w:p>
        </w:tc>
      </w:tr>
      <w:tr w:rsidR="004D59FC" w:rsidRPr="003A703B" w14:paraId="69DB8151" w14:textId="77777777" w:rsidTr="00A51EC9">
        <w:trPr>
          <w:trHeight w:val="290"/>
        </w:trPr>
        <w:tc>
          <w:tcPr>
            <w:tcW w:w="948" w:type="dxa"/>
          </w:tcPr>
          <w:p w14:paraId="7FE2BF57" w14:textId="06AAC95D" w:rsidR="004D59FC" w:rsidRPr="003A703B" w:rsidRDefault="004D59FC" w:rsidP="004D59FC">
            <w:pPr>
              <w:autoSpaceDE w:val="0"/>
              <w:autoSpaceDN w:val="0"/>
              <w:adjustRightInd w:val="0"/>
              <w:rPr>
                <w:color w:val="000000"/>
                <w:sz w:val="22"/>
                <w:szCs w:val="22"/>
              </w:rPr>
            </w:pPr>
            <w:r w:rsidRPr="003A703B">
              <w:rPr>
                <w:color w:val="000000"/>
                <w:sz w:val="22"/>
                <w:szCs w:val="22"/>
              </w:rPr>
              <w:t>1274</w:t>
            </w:r>
            <w:r>
              <w:rPr>
                <w:color w:val="000000"/>
                <w:sz w:val="22"/>
                <w:szCs w:val="22"/>
              </w:rPr>
              <w:t>6</w:t>
            </w:r>
          </w:p>
        </w:tc>
        <w:tc>
          <w:tcPr>
            <w:tcW w:w="6945" w:type="dxa"/>
          </w:tcPr>
          <w:p w14:paraId="38D3743A" w14:textId="5EB8F016" w:rsidR="004D59FC" w:rsidRPr="003A703B" w:rsidRDefault="004D59FC" w:rsidP="004D59FC">
            <w:pPr>
              <w:autoSpaceDE w:val="0"/>
              <w:autoSpaceDN w:val="0"/>
              <w:adjustRightInd w:val="0"/>
              <w:rPr>
                <w:sz w:val="22"/>
                <w:szCs w:val="22"/>
              </w:rPr>
            </w:pPr>
            <w:r w:rsidRPr="004D59FC">
              <w:rPr>
                <w:sz w:val="22"/>
                <w:szCs w:val="22"/>
              </w:rPr>
              <w:t>Druge stavbe, ki niso uvrščene drugje</w:t>
            </w:r>
          </w:p>
        </w:tc>
        <w:tc>
          <w:tcPr>
            <w:tcW w:w="1134" w:type="dxa"/>
          </w:tcPr>
          <w:p w14:paraId="231EA638" w14:textId="543D302D" w:rsidR="004D59FC" w:rsidRPr="003A703B" w:rsidRDefault="004D59FC" w:rsidP="004D59FC">
            <w:pPr>
              <w:jc w:val="right"/>
              <w:rPr>
                <w:sz w:val="22"/>
                <w:szCs w:val="22"/>
              </w:rPr>
            </w:pPr>
            <w:r w:rsidRPr="003A703B">
              <w:rPr>
                <w:sz w:val="22"/>
                <w:szCs w:val="22"/>
              </w:rPr>
              <w:t>1</w:t>
            </w:r>
            <w:r>
              <w:rPr>
                <w:sz w:val="22"/>
                <w:szCs w:val="22"/>
              </w:rPr>
              <w:t>,0</w:t>
            </w:r>
          </w:p>
        </w:tc>
      </w:tr>
      <w:tr w:rsidR="00A51EC9" w:rsidRPr="003470B8" w14:paraId="3BCF4B34" w14:textId="77777777" w:rsidTr="00A51EC9">
        <w:trPr>
          <w:trHeight w:val="290"/>
        </w:trPr>
        <w:tc>
          <w:tcPr>
            <w:tcW w:w="948" w:type="dxa"/>
            <w:shd w:val="clear" w:color="auto" w:fill="auto"/>
          </w:tcPr>
          <w:p w14:paraId="011B4DE3" w14:textId="77777777" w:rsidR="00A51EC9" w:rsidRPr="003470B8" w:rsidRDefault="00A51EC9" w:rsidP="00FF138E">
            <w:pPr>
              <w:autoSpaceDE w:val="0"/>
              <w:autoSpaceDN w:val="0"/>
              <w:adjustRightInd w:val="0"/>
              <w:rPr>
                <w:b/>
                <w:bCs/>
                <w:color w:val="000000"/>
                <w:sz w:val="22"/>
                <w:szCs w:val="22"/>
              </w:rPr>
            </w:pPr>
            <w:r w:rsidRPr="003470B8">
              <w:rPr>
                <w:b/>
                <w:bCs/>
                <w:sz w:val="22"/>
                <w:szCs w:val="22"/>
              </w:rPr>
              <w:t>2</w:t>
            </w:r>
          </w:p>
        </w:tc>
        <w:tc>
          <w:tcPr>
            <w:tcW w:w="6945" w:type="dxa"/>
            <w:shd w:val="clear" w:color="auto" w:fill="auto"/>
          </w:tcPr>
          <w:p w14:paraId="0F87B956" w14:textId="77777777" w:rsidR="00A51EC9" w:rsidRPr="003470B8" w:rsidRDefault="00A51EC9" w:rsidP="00FF138E">
            <w:pPr>
              <w:autoSpaceDE w:val="0"/>
              <w:autoSpaceDN w:val="0"/>
              <w:adjustRightInd w:val="0"/>
              <w:rPr>
                <w:b/>
                <w:bCs/>
                <w:color w:val="000000"/>
                <w:sz w:val="22"/>
                <w:szCs w:val="22"/>
              </w:rPr>
            </w:pPr>
            <w:r w:rsidRPr="003470B8">
              <w:rPr>
                <w:b/>
                <w:bCs/>
                <w:sz w:val="22"/>
                <w:szCs w:val="22"/>
              </w:rPr>
              <w:t>GRADBENI INŽENIRSKI OBJEKTI</w:t>
            </w:r>
          </w:p>
        </w:tc>
        <w:tc>
          <w:tcPr>
            <w:tcW w:w="1134" w:type="dxa"/>
            <w:shd w:val="clear" w:color="auto" w:fill="auto"/>
          </w:tcPr>
          <w:p w14:paraId="64DDD0BD" w14:textId="77777777" w:rsidR="00A51EC9" w:rsidRPr="003470B8" w:rsidRDefault="00A51EC9" w:rsidP="00FF138E">
            <w:pPr>
              <w:rPr>
                <w:b/>
                <w:bCs/>
                <w:sz w:val="22"/>
                <w:szCs w:val="22"/>
                <w:highlight w:val="yellow"/>
              </w:rPr>
            </w:pPr>
          </w:p>
        </w:tc>
      </w:tr>
      <w:tr w:rsidR="00A51EC9" w:rsidRPr="003A703B" w14:paraId="7C412674" w14:textId="77777777" w:rsidTr="00A51EC9">
        <w:trPr>
          <w:trHeight w:val="290"/>
        </w:trPr>
        <w:tc>
          <w:tcPr>
            <w:tcW w:w="948" w:type="dxa"/>
            <w:shd w:val="clear" w:color="auto" w:fill="auto"/>
          </w:tcPr>
          <w:p w14:paraId="1A84E1EF" w14:textId="77777777" w:rsidR="00A51EC9" w:rsidRPr="003A703B" w:rsidRDefault="00A51EC9" w:rsidP="00FF138E">
            <w:pPr>
              <w:autoSpaceDE w:val="0"/>
              <w:autoSpaceDN w:val="0"/>
              <w:adjustRightInd w:val="0"/>
              <w:rPr>
                <w:b/>
                <w:bCs/>
                <w:color w:val="000000"/>
                <w:sz w:val="22"/>
                <w:szCs w:val="22"/>
              </w:rPr>
            </w:pPr>
            <w:r w:rsidRPr="003A703B">
              <w:rPr>
                <w:sz w:val="22"/>
                <w:szCs w:val="22"/>
              </w:rPr>
              <w:lastRenderedPageBreak/>
              <w:t>21</w:t>
            </w:r>
          </w:p>
        </w:tc>
        <w:tc>
          <w:tcPr>
            <w:tcW w:w="6945" w:type="dxa"/>
            <w:shd w:val="clear" w:color="auto" w:fill="auto"/>
          </w:tcPr>
          <w:p w14:paraId="76DC51B5" w14:textId="77777777" w:rsidR="00A51EC9" w:rsidRPr="003A703B" w:rsidRDefault="00A51EC9" w:rsidP="00FF138E">
            <w:pPr>
              <w:autoSpaceDE w:val="0"/>
              <w:autoSpaceDN w:val="0"/>
              <w:adjustRightInd w:val="0"/>
              <w:rPr>
                <w:b/>
                <w:bCs/>
                <w:color w:val="000000"/>
                <w:sz w:val="22"/>
                <w:szCs w:val="22"/>
              </w:rPr>
            </w:pPr>
            <w:r w:rsidRPr="003A703B">
              <w:rPr>
                <w:sz w:val="22"/>
                <w:szCs w:val="22"/>
              </w:rPr>
              <w:t>Objekti prometne infrastrukture</w:t>
            </w:r>
          </w:p>
        </w:tc>
        <w:tc>
          <w:tcPr>
            <w:tcW w:w="1134" w:type="dxa"/>
            <w:shd w:val="clear" w:color="auto" w:fill="auto"/>
          </w:tcPr>
          <w:p w14:paraId="7D377C52" w14:textId="77777777" w:rsidR="00A51EC9" w:rsidRPr="003A703B" w:rsidRDefault="00A51EC9" w:rsidP="00FF138E">
            <w:pPr>
              <w:jc w:val="right"/>
              <w:rPr>
                <w:sz w:val="22"/>
                <w:szCs w:val="22"/>
              </w:rPr>
            </w:pPr>
          </w:p>
        </w:tc>
      </w:tr>
      <w:tr w:rsidR="00A51EC9" w:rsidRPr="003A703B" w14:paraId="27672661" w14:textId="77777777" w:rsidTr="00A51EC9">
        <w:trPr>
          <w:trHeight w:val="290"/>
        </w:trPr>
        <w:tc>
          <w:tcPr>
            <w:tcW w:w="948" w:type="dxa"/>
          </w:tcPr>
          <w:p w14:paraId="6A6D2121" w14:textId="77777777" w:rsidR="00A51EC9" w:rsidRPr="003A703B" w:rsidRDefault="00A51EC9" w:rsidP="00FF138E">
            <w:pPr>
              <w:autoSpaceDE w:val="0"/>
              <w:autoSpaceDN w:val="0"/>
              <w:adjustRightInd w:val="0"/>
              <w:rPr>
                <w:b/>
                <w:bCs/>
                <w:color w:val="000000"/>
                <w:sz w:val="22"/>
                <w:szCs w:val="22"/>
              </w:rPr>
            </w:pPr>
            <w:r w:rsidRPr="003A703B">
              <w:rPr>
                <w:sz w:val="22"/>
                <w:szCs w:val="22"/>
              </w:rPr>
              <w:t>211</w:t>
            </w:r>
          </w:p>
        </w:tc>
        <w:tc>
          <w:tcPr>
            <w:tcW w:w="6945" w:type="dxa"/>
          </w:tcPr>
          <w:p w14:paraId="779CEBE4" w14:textId="77777777" w:rsidR="00A51EC9" w:rsidRPr="003A703B" w:rsidRDefault="00A51EC9" w:rsidP="00FF138E">
            <w:pPr>
              <w:autoSpaceDE w:val="0"/>
              <w:autoSpaceDN w:val="0"/>
              <w:adjustRightInd w:val="0"/>
              <w:rPr>
                <w:b/>
                <w:bCs/>
                <w:color w:val="000000"/>
                <w:sz w:val="22"/>
                <w:szCs w:val="22"/>
              </w:rPr>
            </w:pPr>
            <w:r w:rsidRPr="003A703B">
              <w:rPr>
                <w:sz w:val="22"/>
                <w:szCs w:val="22"/>
              </w:rPr>
              <w:t>Ceste</w:t>
            </w:r>
          </w:p>
        </w:tc>
        <w:tc>
          <w:tcPr>
            <w:tcW w:w="1134" w:type="dxa"/>
          </w:tcPr>
          <w:p w14:paraId="5A128229" w14:textId="29B9EB4C" w:rsidR="00A51EC9" w:rsidRPr="003A703B" w:rsidRDefault="00A51EC9" w:rsidP="00FF138E">
            <w:pPr>
              <w:jc w:val="right"/>
              <w:rPr>
                <w:sz w:val="22"/>
                <w:szCs w:val="22"/>
              </w:rPr>
            </w:pPr>
          </w:p>
        </w:tc>
      </w:tr>
      <w:tr w:rsidR="00A51EC9" w:rsidRPr="003A703B" w14:paraId="25952D9F" w14:textId="77777777" w:rsidTr="00A51EC9">
        <w:trPr>
          <w:trHeight w:val="290"/>
        </w:trPr>
        <w:tc>
          <w:tcPr>
            <w:tcW w:w="948" w:type="dxa"/>
          </w:tcPr>
          <w:p w14:paraId="2FADDCBA" w14:textId="77777777" w:rsidR="00A51EC9" w:rsidRPr="003A703B" w:rsidRDefault="00A51EC9" w:rsidP="00FF138E">
            <w:pPr>
              <w:autoSpaceDE w:val="0"/>
              <w:autoSpaceDN w:val="0"/>
              <w:adjustRightInd w:val="0"/>
              <w:rPr>
                <w:b/>
                <w:bCs/>
                <w:color w:val="000000"/>
                <w:sz w:val="22"/>
                <w:szCs w:val="22"/>
              </w:rPr>
            </w:pPr>
            <w:r w:rsidRPr="003A703B">
              <w:rPr>
                <w:sz w:val="22"/>
                <w:szCs w:val="22"/>
              </w:rPr>
              <w:t>21122</w:t>
            </w:r>
          </w:p>
        </w:tc>
        <w:tc>
          <w:tcPr>
            <w:tcW w:w="6945" w:type="dxa"/>
          </w:tcPr>
          <w:p w14:paraId="3BF98770" w14:textId="31FED169" w:rsidR="00A51EC9" w:rsidRPr="003A703B" w:rsidRDefault="003470B8" w:rsidP="00FF138E">
            <w:pPr>
              <w:autoSpaceDE w:val="0"/>
              <w:autoSpaceDN w:val="0"/>
              <w:adjustRightInd w:val="0"/>
              <w:rPr>
                <w:b/>
                <w:bCs/>
                <w:color w:val="000000"/>
                <w:sz w:val="22"/>
                <w:szCs w:val="22"/>
              </w:rPr>
            </w:pPr>
            <w:r w:rsidRPr="003470B8">
              <w:rPr>
                <w:sz w:val="22"/>
                <w:szCs w:val="22"/>
              </w:rPr>
              <w:t>Parkirišča izven vozišča</w:t>
            </w:r>
          </w:p>
        </w:tc>
        <w:tc>
          <w:tcPr>
            <w:tcW w:w="1134" w:type="dxa"/>
          </w:tcPr>
          <w:p w14:paraId="6ECDB28B" w14:textId="77777777" w:rsidR="00A51EC9" w:rsidRPr="003A703B" w:rsidRDefault="00A51EC9" w:rsidP="00FF138E">
            <w:pPr>
              <w:jc w:val="right"/>
              <w:rPr>
                <w:sz w:val="22"/>
                <w:szCs w:val="22"/>
              </w:rPr>
            </w:pPr>
            <w:r w:rsidRPr="003A703B">
              <w:rPr>
                <w:sz w:val="22"/>
                <w:szCs w:val="22"/>
              </w:rPr>
              <w:t>0,5</w:t>
            </w:r>
          </w:p>
        </w:tc>
      </w:tr>
      <w:tr w:rsidR="00A51EC9" w:rsidRPr="00BC2296" w14:paraId="66B3F40E" w14:textId="77777777" w:rsidTr="00A51EC9">
        <w:trPr>
          <w:trHeight w:val="290"/>
        </w:trPr>
        <w:tc>
          <w:tcPr>
            <w:tcW w:w="948" w:type="dxa"/>
            <w:shd w:val="clear" w:color="auto" w:fill="auto"/>
          </w:tcPr>
          <w:p w14:paraId="1455AE6B" w14:textId="77777777" w:rsidR="00A51EC9" w:rsidRPr="00BC2296" w:rsidRDefault="00A51EC9" w:rsidP="00FF138E">
            <w:pPr>
              <w:autoSpaceDE w:val="0"/>
              <w:autoSpaceDN w:val="0"/>
              <w:adjustRightInd w:val="0"/>
              <w:rPr>
                <w:b/>
                <w:bCs/>
                <w:color w:val="000000"/>
                <w:sz w:val="22"/>
                <w:szCs w:val="22"/>
              </w:rPr>
            </w:pPr>
            <w:r w:rsidRPr="00BC2296">
              <w:rPr>
                <w:b/>
                <w:bCs/>
                <w:sz w:val="22"/>
                <w:szCs w:val="22"/>
              </w:rPr>
              <w:t>23</w:t>
            </w:r>
          </w:p>
        </w:tc>
        <w:tc>
          <w:tcPr>
            <w:tcW w:w="6945" w:type="dxa"/>
            <w:shd w:val="clear" w:color="auto" w:fill="auto"/>
          </w:tcPr>
          <w:p w14:paraId="361105D4" w14:textId="40D65B4D" w:rsidR="00A51EC9" w:rsidRPr="00BC2296" w:rsidRDefault="00A51EC9" w:rsidP="00FF138E">
            <w:pPr>
              <w:autoSpaceDE w:val="0"/>
              <w:autoSpaceDN w:val="0"/>
              <w:adjustRightInd w:val="0"/>
              <w:rPr>
                <w:b/>
                <w:bCs/>
                <w:color w:val="000000"/>
                <w:sz w:val="22"/>
                <w:szCs w:val="22"/>
              </w:rPr>
            </w:pPr>
            <w:r w:rsidRPr="00BC2296">
              <w:rPr>
                <w:b/>
                <w:bCs/>
                <w:sz w:val="22"/>
                <w:szCs w:val="22"/>
              </w:rPr>
              <w:t>Industrijski kompleksi</w:t>
            </w:r>
          </w:p>
        </w:tc>
        <w:tc>
          <w:tcPr>
            <w:tcW w:w="1134" w:type="dxa"/>
            <w:shd w:val="clear" w:color="auto" w:fill="auto"/>
          </w:tcPr>
          <w:p w14:paraId="46197061" w14:textId="55FAC8A3" w:rsidR="00A51EC9" w:rsidRPr="00111E29" w:rsidRDefault="003470B8" w:rsidP="003470B8">
            <w:pPr>
              <w:jc w:val="right"/>
              <w:rPr>
                <w:sz w:val="22"/>
                <w:szCs w:val="22"/>
                <w:highlight w:val="yellow"/>
              </w:rPr>
            </w:pPr>
            <w:r w:rsidRPr="00111E29">
              <w:rPr>
                <w:sz w:val="22"/>
                <w:szCs w:val="22"/>
              </w:rPr>
              <w:t>0,5</w:t>
            </w:r>
          </w:p>
        </w:tc>
      </w:tr>
      <w:tr w:rsidR="00A51EC9" w:rsidRPr="00BC2296" w14:paraId="0DA35EBE" w14:textId="77777777" w:rsidTr="00A51EC9">
        <w:trPr>
          <w:trHeight w:val="290"/>
        </w:trPr>
        <w:tc>
          <w:tcPr>
            <w:tcW w:w="948" w:type="dxa"/>
          </w:tcPr>
          <w:p w14:paraId="7D6A4DA9" w14:textId="77777777" w:rsidR="00A51EC9" w:rsidRPr="00BC2296" w:rsidRDefault="00A51EC9" w:rsidP="00FF138E">
            <w:pPr>
              <w:autoSpaceDE w:val="0"/>
              <w:autoSpaceDN w:val="0"/>
              <w:adjustRightInd w:val="0"/>
              <w:rPr>
                <w:b/>
                <w:bCs/>
                <w:color w:val="000000"/>
                <w:sz w:val="22"/>
                <w:szCs w:val="22"/>
              </w:rPr>
            </w:pPr>
            <w:r w:rsidRPr="00BC2296">
              <w:rPr>
                <w:b/>
                <w:bCs/>
                <w:sz w:val="22"/>
                <w:szCs w:val="22"/>
              </w:rPr>
              <w:t>24</w:t>
            </w:r>
          </w:p>
        </w:tc>
        <w:tc>
          <w:tcPr>
            <w:tcW w:w="6945" w:type="dxa"/>
          </w:tcPr>
          <w:p w14:paraId="723249D2" w14:textId="77777777" w:rsidR="00A51EC9" w:rsidRPr="00BC2296" w:rsidRDefault="00A51EC9" w:rsidP="00FF138E">
            <w:pPr>
              <w:autoSpaceDE w:val="0"/>
              <w:autoSpaceDN w:val="0"/>
              <w:adjustRightInd w:val="0"/>
              <w:rPr>
                <w:b/>
                <w:bCs/>
                <w:color w:val="000000"/>
                <w:sz w:val="22"/>
                <w:szCs w:val="22"/>
              </w:rPr>
            </w:pPr>
            <w:r w:rsidRPr="00BC2296">
              <w:rPr>
                <w:b/>
                <w:bCs/>
                <w:sz w:val="22"/>
                <w:szCs w:val="22"/>
              </w:rPr>
              <w:t>Drugi gradbeni inženirski objekti</w:t>
            </w:r>
          </w:p>
        </w:tc>
        <w:tc>
          <w:tcPr>
            <w:tcW w:w="1134" w:type="dxa"/>
          </w:tcPr>
          <w:p w14:paraId="0E470031" w14:textId="77777777" w:rsidR="00A51EC9" w:rsidRPr="00BC2296" w:rsidRDefault="00A51EC9" w:rsidP="00FF138E">
            <w:pPr>
              <w:rPr>
                <w:b/>
                <w:bCs/>
                <w:sz w:val="22"/>
                <w:szCs w:val="22"/>
              </w:rPr>
            </w:pPr>
          </w:p>
        </w:tc>
      </w:tr>
      <w:tr w:rsidR="00A51EC9" w:rsidRPr="003A703B" w14:paraId="6445EC20" w14:textId="77777777" w:rsidTr="00A51EC9">
        <w:trPr>
          <w:trHeight w:val="290"/>
        </w:trPr>
        <w:tc>
          <w:tcPr>
            <w:tcW w:w="948" w:type="dxa"/>
          </w:tcPr>
          <w:p w14:paraId="4F765040" w14:textId="77777777" w:rsidR="00A51EC9" w:rsidRPr="003A703B" w:rsidRDefault="00A51EC9" w:rsidP="00FF138E">
            <w:pPr>
              <w:autoSpaceDE w:val="0"/>
              <w:autoSpaceDN w:val="0"/>
              <w:adjustRightInd w:val="0"/>
              <w:rPr>
                <w:color w:val="000000"/>
                <w:sz w:val="22"/>
                <w:szCs w:val="22"/>
              </w:rPr>
            </w:pPr>
            <w:r w:rsidRPr="003A703B">
              <w:rPr>
                <w:sz w:val="22"/>
                <w:szCs w:val="22"/>
              </w:rPr>
              <w:t>241</w:t>
            </w:r>
          </w:p>
        </w:tc>
        <w:tc>
          <w:tcPr>
            <w:tcW w:w="6945" w:type="dxa"/>
          </w:tcPr>
          <w:p w14:paraId="08F18E0E" w14:textId="77777777" w:rsidR="00A51EC9" w:rsidRPr="003A703B" w:rsidRDefault="00A51EC9" w:rsidP="00FF138E">
            <w:pPr>
              <w:autoSpaceDE w:val="0"/>
              <w:autoSpaceDN w:val="0"/>
              <w:adjustRightInd w:val="0"/>
              <w:rPr>
                <w:color w:val="000000"/>
                <w:sz w:val="22"/>
                <w:szCs w:val="22"/>
              </w:rPr>
            </w:pPr>
            <w:r w:rsidRPr="003A703B">
              <w:rPr>
                <w:sz w:val="22"/>
                <w:szCs w:val="22"/>
              </w:rPr>
              <w:t>Objekti za šport, rekreacijo in prosti čas</w:t>
            </w:r>
          </w:p>
        </w:tc>
        <w:tc>
          <w:tcPr>
            <w:tcW w:w="1134" w:type="dxa"/>
          </w:tcPr>
          <w:p w14:paraId="35E36AA8" w14:textId="77777777" w:rsidR="00A51EC9" w:rsidRPr="003A703B" w:rsidRDefault="00A51EC9" w:rsidP="00FF138E">
            <w:pPr>
              <w:jc w:val="right"/>
              <w:rPr>
                <w:sz w:val="22"/>
                <w:szCs w:val="22"/>
              </w:rPr>
            </w:pPr>
          </w:p>
        </w:tc>
      </w:tr>
      <w:tr w:rsidR="00A51EC9" w:rsidRPr="003A703B" w14:paraId="7A3F89BE" w14:textId="77777777" w:rsidTr="00A51EC9">
        <w:trPr>
          <w:trHeight w:val="290"/>
        </w:trPr>
        <w:tc>
          <w:tcPr>
            <w:tcW w:w="948" w:type="dxa"/>
          </w:tcPr>
          <w:p w14:paraId="69807E62" w14:textId="5DC3CFF3" w:rsidR="00A51EC9" w:rsidRPr="003A703B" w:rsidRDefault="00A51EC9" w:rsidP="00FF138E">
            <w:pPr>
              <w:autoSpaceDE w:val="0"/>
              <w:autoSpaceDN w:val="0"/>
              <w:adjustRightInd w:val="0"/>
              <w:rPr>
                <w:color w:val="000000"/>
                <w:sz w:val="22"/>
                <w:szCs w:val="22"/>
              </w:rPr>
            </w:pPr>
            <w:r w:rsidRPr="003A703B">
              <w:rPr>
                <w:sz w:val="22"/>
                <w:szCs w:val="22"/>
              </w:rPr>
              <w:t>2411</w:t>
            </w:r>
          </w:p>
        </w:tc>
        <w:tc>
          <w:tcPr>
            <w:tcW w:w="6945" w:type="dxa"/>
          </w:tcPr>
          <w:p w14:paraId="017D71FD" w14:textId="77777777" w:rsidR="00A51EC9" w:rsidRPr="003A703B" w:rsidRDefault="00A51EC9" w:rsidP="00FF138E">
            <w:pPr>
              <w:autoSpaceDE w:val="0"/>
              <w:autoSpaceDN w:val="0"/>
              <w:adjustRightInd w:val="0"/>
              <w:rPr>
                <w:color w:val="000000"/>
                <w:sz w:val="22"/>
                <w:szCs w:val="22"/>
              </w:rPr>
            </w:pPr>
            <w:r w:rsidRPr="003A703B">
              <w:rPr>
                <w:sz w:val="22"/>
                <w:szCs w:val="22"/>
              </w:rPr>
              <w:t>Športna igrišča</w:t>
            </w:r>
          </w:p>
        </w:tc>
        <w:tc>
          <w:tcPr>
            <w:tcW w:w="1134" w:type="dxa"/>
          </w:tcPr>
          <w:p w14:paraId="448A981A" w14:textId="77777777" w:rsidR="00A51EC9" w:rsidRPr="003A703B" w:rsidRDefault="00A51EC9" w:rsidP="00FF138E">
            <w:pPr>
              <w:jc w:val="right"/>
              <w:rPr>
                <w:sz w:val="22"/>
                <w:szCs w:val="22"/>
              </w:rPr>
            </w:pPr>
            <w:r w:rsidRPr="003A703B">
              <w:rPr>
                <w:sz w:val="22"/>
                <w:szCs w:val="22"/>
              </w:rPr>
              <w:t>0,5</w:t>
            </w:r>
          </w:p>
        </w:tc>
      </w:tr>
      <w:tr w:rsidR="00A51EC9" w:rsidRPr="003A703B" w14:paraId="61D37BDE" w14:textId="77777777" w:rsidTr="00A51EC9">
        <w:trPr>
          <w:trHeight w:val="290"/>
        </w:trPr>
        <w:tc>
          <w:tcPr>
            <w:tcW w:w="948" w:type="dxa"/>
          </w:tcPr>
          <w:p w14:paraId="23376D39" w14:textId="3C0D9889" w:rsidR="00A51EC9" w:rsidRPr="003A703B" w:rsidRDefault="00A51EC9" w:rsidP="00FF138E">
            <w:pPr>
              <w:autoSpaceDE w:val="0"/>
              <w:autoSpaceDN w:val="0"/>
              <w:adjustRightInd w:val="0"/>
              <w:rPr>
                <w:color w:val="000000"/>
                <w:sz w:val="22"/>
                <w:szCs w:val="22"/>
              </w:rPr>
            </w:pPr>
            <w:r w:rsidRPr="003A703B">
              <w:rPr>
                <w:sz w:val="22"/>
                <w:szCs w:val="22"/>
              </w:rPr>
              <w:t>2412</w:t>
            </w:r>
          </w:p>
        </w:tc>
        <w:tc>
          <w:tcPr>
            <w:tcW w:w="6945" w:type="dxa"/>
          </w:tcPr>
          <w:p w14:paraId="2065DEAE" w14:textId="15162524" w:rsidR="00A51EC9" w:rsidRPr="00BC2296" w:rsidRDefault="00BC2296" w:rsidP="00BC2296">
            <w:pPr>
              <w:autoSpaceDE w:val="0"/>
              <w:autoSpaceDN w:val="0"/>
              <w:adjustRightInd w:val="0"/>
              <w:contextualSpacing/>
              <w:rPr>
                <w:color w:val="000000"/>
                <w:sz w:val="22"/>
                <w:szCs w:val="22"/>
              </w:rPr>
            </w:pPr>
            <w:r w:rsidRPr="00BC2296">
              <w:rPr>
                <w:sz w:val="22"/>
                <w:szCs w:val="22"/>
              </w:rPr>
              <w:t>Drugi objekti za šport, rekreacijo in prosti čas</w:t>
            </w:r>
          </w:p>
        </w:tc>
        <w:tc>
          <w:tcPr>
            <w:tcW w:w="1134" w:type="dxa"/>
          </w:tcPr>
          <w:p w14:paraId="7F1C6ACF" w14:textId="77777777" w:rsidR="00A51EC9" w:rsidRPr="003A703B" w:rsidRDefault="00A51EC9" w:rsidP="00FF138E">
            <w:pPr>
              <w:jc w:val="right"/>
              <w:rPr>
                <w:sz w:val="22"/>
                <w:szCs w:val="22"/>
              </w:rPr>
            </w:pPr>
            <w:r w:rsidRPr="003A703B">
              <w:rPr>
                <w:sz w:val="22"/>
                <w:szCs w:val="22"/>
              </w:rPr>
              <w:t>0,5</w:t>
            </w:r>
          </w:p>
        </w:tc>
      </w:tr>
      <w:tr w:rsidR="00A51EC9" w:rsidRPr="00BC2296" w14:paraId="02204485" w14:textId="77777777" w:rsidTr="00A51EC9">
        <w:trPr>
          <w:trHeight w:val="290"/>
        </w:trPr>
        <w:tc>
          <w:tcPr>
            <w:tcW w:w="948" w:type="dxa"/>
          </w:tcPr>
          <w:p w14:paraId="0676550B" w14:textId="77777777" w:rsidR="00A51EC9" w:rsidRPr="00BC2296" w:rsidRDefault="00A51EC9" w:rsidP="00FF138E">
            <w:pPr>
              <w:autoSpaceDE w:val="0"/>
              <w:autoSpaceDN w:val="0"/>
              <w:adjustRightInd w:val="0"/>
              <w:rPr>
                <w:b/>
                <w:bCs/>
                <w:color w:val="000000"/>
                <w:sz w:val="22"/>
                <w:szCs w:val="22"/>
              </w:rPr>
            </w:pPr>
            <w:r w:rsidRPr="00BC2296">
              <w:rPr>
                <w:b/>
                <w:bCs/>
                <w:sz w:val="22"/>
                <w:szCs w:val="22"/>
              </w:rPr>
              <w:t>242</w:t>
            </w:r>
          </w:p>
        </w:tc>
        <w:tc>
          <w:tcPr>
            <w:tcW w:w="6945" w:type="dxa"/>
          </w:tcPr>
          <w:p w14:paraId="04A93396" w14:textId="77777777" w:rsidR="00A51EC9" w:rsidRPr="00BC2296" w:rsidRDefault="00A51EC9" w:rsidP="00FF138E">
            <w:pPr>
              <w:autoSpaceDE w:val="0"/>
              <w:autoSpaceDN w:val="0"/>
              <w:adjustRightInd w:val="0"/>
              <w:rPr>
                <w:b/>
                <w:bCs/>
                <w:color w:val="000000"/>
                <w:sz w:val="22"/>
                <w:szCs w:val="22"/>
              </w:rPr>
            </w:pPr>
            <w:r w:rsidRPr="00BC2296">
              <w:rPr>
                <w:b/>
                <w:bCs/>
                <w:sz w:val="22"/>
                <w:szCs w:val="22"/>
              </w:rPr>
              <w:t>Drugi gradbeni inženirski objekti</w:t>
            </w:r>
          </w:p>
        </w:tc>
        <w:tc>
          <w:tcPr>
            <w:tcW w:w="1134" w:type="dxa"/>
          </w:tcPr>
          <w:p w14:paraId="6A2CA885" w14:textId="77777777" w:rsidR="00A51EC9" w:rsidRPr="00BC2296" w:rsidRDefault="00A51EC9" w:rsidP="00FF138E">
            <w:pPr>
              <w:jc w:val="right"/>
              <w:rPr>
                <w:b/>
                <w:bCs/>
                <w:sz w:val="22"/>
                <w:szCs w:val="22"/>
              </w:rPr>
            </w:pPr>
          </w:p>
        </w:tc>
      </w:tr>
      <w:tr w:rsidR="0052008C" w:rsidRPr="00BC2296" w14:paraId="55BA97C5" w14:textId="77777777" w:rsidTr="00A51EC9">
        <w:trPr>
          <w:trHeight w:val="290"/>
        </w:trPr>
        <w:tc>
          <w:tcPr>
            <w:tcW w:w="948" w:type="dxa"/>
          </w:tcPr>
          <w:p w14:paraId="2B3E74AD" w14:textId="24D14DB8" w:rsidR="0052008C" w:rsidRPr="00BC2296" w:rsidRDefault="0052008C" w:rsidP="0052008C">
            <w:pPr>
              <w:autoSpaceDE w:val="0"/>
              <w:autoSpaceDN w:val="0"/>
              <w:adjustRightInd w:val="0"/>
              <w:rPr>
                <w:b/>
                <w:bCs/>
                <w:sz w:val="22"/>
                <w:szCs w:val="22"/>
              </w:rPr>
            </w:pPr>
            <w:r w:rsidRPr="004B52EE">
              <w:t>24202</w:t>
            </w:r>
          </w:p>
        </w:tc>
        <w:tc>
          <w:tcPr>
            <w:tcW w:w="6945" w:type="dxa"/>
          </w:tcPr>
          <w:p w14:paraId="160EE568" w14:textId="0C9F532E" w:rsidR="0052008C" w:rsidRPr="00BC2296" w:rsidRDefault="0052008C" w:rsidP="0052008C">
            <w:pPr>
              <w:autoSpaceDE w:val="0"/>
              <w:autoSpaceDN w:val="0"/>
              <w:adjustRightInd w:val="0"/>
              <w:rPr>
                <w:b/>
                <w:bCs/>
                <w:sz w:val="22"/>
                <w:szCs w:val="22"/>
              </w:rPr>
            </w:pPr>
            <w:r w:rsidRPr="004B52EE">
              <w:t>Drugi kmetijski gradbeni inženirski objekti</w:t>
            </w:r>
          </w:p>
        </w:tc>
        <w:tc>
          <w:tcPr>
            <w:tcW w:w="1134" w:type="dxa"/>
          </w:tcPr>
          <w:p w14:paraId="54838CBA" w14:textId="5746BC30" w:rsidR="0052008C" w:rsidRPr="00BC2296" w:rsidRDefault="0052008C" w:rsidP="0052008C">
            <w:pPr>
              <w:jc w:val="right"/>
              <w:rPr>
                <w:b/>
                <w:bCs/>
                <w:sz w:val="22"/>
                <w:szCs w:val="22"/>
              </w:rPr>
            </w:pPr>
            <w:r w:rsidRPr="004B52EE">
              <w:t>0,5</w:t>
            </w:r>
          </w:p>
        </w:tc>
      </w:tr>
      <w:tr w:rsidR="00A51EC9" w:rsidRPr="003A703B" w14:paraId="5A0F5454" w14:textId="77777777" w:rsidTr="00A51EC9">
        <w:trPr>
          <w:trHeight w:val="290"/>
        </w:trPr>
        <w:tc>
          <w:tcPr>
            <w:tcW w:w="948" w:type="dxa"/>
          </w:tcPr>
          <w:p w14:paraId="76D567B2" w14:textId="77777777" w:rsidR="00A51EC9" w:rsidRPr="003A703B" w:rsidRDefault="00A51EC9" w:rsidP="00FF138E">
            <w:pPr>
              <w:autoSpaceDE w:val="0"/>
              <w:autoSpaceDN w:val="0"/>
              <w:adjustRightInd w:val="0"/>
              <w:rPr>
                <w:b/>
                <w:bCs/>
                <w:color w:val="000000"/>
                <w:sz w:val="22"/>
                <w:szCs w:val="22"/>
              </w:rPr>
            </w:pPr>
            <w:r w:rsidRPr="003A703B">
              <w:rPr>
                <w:sz w:val="22"/>
                <w:szCs w:val="22"/>
              </w:rPr>
              <w:t>24203</w:t>
            </w:r>
          </w:p>
        </w:tc>
        <w:tc>
          <w:tcPr>
            <w:tcW w:w="6945" w:type="dxa"/>
          </w:tcPr>
          <w:p w14:paraId="73F80309" w14:textId="77777777" w:rsidR="00A51EC9" w:rsidRPr="003A703B" w:rsidRDefault="00A51EC9" w:rsidP="00FF138E">
            <w:pPr>
              <w:autoSpaceDE w:val="0"/>
              <w:autoSpaceDN w:val="0"/>
              <w:adjustRightInd w:val="0"/>
              <w:rPr>
                <w:b/>
                <w:bCs/>
                <w:color w:val="000000"/>
                <w:sz w:val="22"/>
                <w:szCs w:val="22"/>
              </w:rPr>
            </w:pPr>
            <w:r w:rsidRPr="003A703B">
              <w:rPr>
                <w:sz w:val="22"/>
                <w:szCs w:val="22"/>
              </w:rPr>
              <w:t>Objekti za ravnanje z odpadki</w:t>
            </w:r>
          </w:p>
        </w:tc>
        <w:tc>
          <w:tcPr>
            <w:tcW w:w="1134" w:type="dxa"/>
          </w:tcPr>
          <w:p w14:paraId="0C99555A" w14:textId="71568DEF" w:rsidR="00A51EC9" w:rsidRPr="003A703B" w:rsidRDefault="00C12F82" w:rsidP="00FF138E">
            <w:pPr>
              <w:jc w:val="right"/>
              <w:rPr>
                <w:b/>
                <w:bCs/>
                <w:sz w:val="22"/>
                <w:szCs w:val="22"/>
              </w:rPr>
            </w:pPr>
            <w:r>
              <w:rPr>
                <w:sz w:val="22"/>
                <w:szCs w:val="22"/>
              </w:rPr>
              <w:t>1,</w:t>
            </w:r>
            <w:r w:rsidR="0052008C">
              <w:rPr>
                <w:sz w:val="22"/>
                <w:szCs w:val="22"/>
              </w:rPr>
              <w:t>1</w:t>
            </w:r>
          </w:p>
        </w:tc>
      </w:tr>
      <w:tr w:rsidR="00A51EC9" w:rsidRPr="003A703B" w14:paraId="2390AA73" w14:textId="77777777" w:rsidTr="00A51EC9">
        <w:trPr>
          <w:trHeight w:val="290"/>
        </w:trPr>
        <w:tc>
          <w:tcPr>
            <w:tcW w:w="948" w:type="dxa"/>
          </w:tcPr>
          <w:p w14:paraId="587ABC85" w14:textId="56492A60" w:rsidR="00A51EC9" w:rsidRPr="003A703B" w:rsidRDefault="00A51EC9" w:rsidP="00FF138E">
            <w:pPr>
              <w:autoSpaceDE w:val="0"/>
              <w:autoSpaceDN w:val="0"/>
              <w:adjustRightInd w:val="0"/>
              <w:rPr>
                <w:color w:val="000000"/>
                <w:sz w:val="22"/>
                <w:szCs w:val="22"/>
              </w:rPr>
            </w:pPr>
            <w:r w:rsidRPr="003A703B">
              <w:rPr>
                <w:sz w:val="22"/>
                <w:szCs w:val="22"/>
              </w:rPr>
              <w:t>2420</w:t>
            </w:r>
            <w:r w:rsidR="000F07ED">
              <w:rPr>
                <w:sz w:val="22"/>
                <w:szCs w:val="22"/>
              </w:rPr>
              <w:t>6</w:t>
            </w:r>
          </w:p>
        </w:tc>
        <w:tc>
          <w:tcPr>
            <w:tcW w:w="6945" w:type="dxa"/>
          </w:tcPr>
          <w:p w14:paraId="779F29A8" w14:textId="1DB4EEA2" w:rsidR="00A51EC9" w:rsidRPr="003A703B" w:rsidRDefault="000F07ED" w:rsidP="000F07ED">
            <w:pPr>
              <w:autoSpaceDE w:val="0"/>
              <w:autoSpaceDN w:val="0"/>
              <w:adjustRightInd w:val="0"/>
              <w:rPr>
                <w:color w:val="000000"/>
                <w:sz w:val="22"/>
                <w:szCs w:val="22"/>
              </w:rPr>
            </w:pPr>
            <w:r w:rsidRPr="000F07ED">
              <w:rPr>
                <w:color w:val="000000"/>
                <w:sz w:val="22"/>
                <w:szCs w:val="22"/>
              </w:rPr>
              <w:t>Odprta skladišča in odprte</w:t>
            </w:r>
            <w:r>
              <w:rPr>
                <w:color w:val="000000"/>
                <w:sz w:val="22"/>
                <w:szCs w:val="22"/>
              </w:rPr>
              <w:t xml:space="preserve"> </w:t>
            </w:r>
            <w:r w:rsidRPr="000F07ED">
              <w:rPr>
                <w:color w:val="000000"/>
                <w:sz w:val="22"/>
                <w:szCs w:val="22"/>
              </w:rPr>
              <w:t>prodajne površine</w:t>
            </w:r>
          </w:p>
        </w:tc>
        <w:tc>
          <w:tcPr>
            <w:tcW w:w="1134" w:type="dxa"/>
          </w:tcPr>
          <w:p w14:paraId="300E0F16" w14:textId="6FE49DE0" w:rsidR="00A51EC9" w:rsidRPr="003A703B" w:rsidRDefault="002B2207" w:rsidP="00FF138E">
            <w:pPr>
              <w:jc w:val="right"/>
              <w:rPr>
                <w:b/>
                <w:bCs/>
                <w:sz w:val="22"/>
                <w:szCs w:val="22"/>
              </w:rPr>
            </w:pPr>
            <w:r>
              <w:rPr>
                <w:sz w:val="22"/>
                <w:szCs w:val="22"/>
              </w:rPr>
              <w:t>1,1</w:t>
            </w:r>
          </w:p>
        </w:tc>
      </w:tr>
      <w:tr w:rsidR="00A51EC9" w:rsidRPr="003A703B" w14:paraId="63CA4570" w14:textId="77777777" w:rsidTr="00A51EC9">
        <w:trPr>
          <w:trHeight w:val="290"/>
        </w:trPr>
        <w:tc>
          <w:tcPr>
            <w:tcW w:w="948" w:type="dxa"/>
          </w:tcPr>
          <w:p w14:paraId="7FE7B825" w14:textId="1253FA8C" w:rsidR="00A51EC9" w:rsidRPr="003A703B" w:rsidRDefault="00A51EC9" w:rsidP="00FF138E">
            <w:pPr>
              <w:autoSpaceDE w:val="0"/>
              <w:autoSpaceDN w:val="0"/>
              <w:adjustRightInd w:val="0"/>
              <w:rPr>
                <w:color w:val="000000"/>
                <w:sz w:val="22"/>
                <w:szCs w:val="22"/>
              </w:rPr>
            </w:pPr>
            <w:r w:rsidRPr="003A703B">
              <w:rPr>
                <w:sz w:val="22"/>
                <w:szCs w:val="22"/>
              </w:rPr>
              <w:t>2420</w:t>
            </w:r>
            <w:r w:rsidR="002B2207">
              <w:rPr>
                <w:sz w:val="22"/>
                <w:szCs w:val="22"/>
              </w:rPr>
              <w:t>8</w:t>
            </w:r>
          </w:p>
        </w:tc>
        <w:tc>
          <w:tcPr>
            <w:tcW w:w="6945" w:type="dxa"/>
          </w:tcPr>
          <w:p w14:paraId="77905062" w14:textId="759466E0" w:rsidR="00A51EC9" w:rsidRPr="003A703B" w:rsidRDefault="002B2207" w:rsidP="002B2207">
            <w:pPr>
              <w:autoSpaceDE w:val="0"/>
              <w:autoSpaceDN w:val="0"/>
              <w:adjustRightInd w:val="0"/>
              <w:rPr>
                <w:color w:val="000000"/>
                <w:sz w:val="22"/>
                <w:szCs w:val="22"/>
              </w:rPr>
            </w:pPr>
            <w:r w:rsidRPr="002B2207">
              <w:rPr>
                <w:color w:val="000000"/>
                <w:sz w:val="22"/>
                <w:szCs w:val="22"/>
              </w:rPr>
              <w:t>Drugi gradbeni inženirski objekti, ki</w:t>
            </w:r>
            <w:r>
              <w:rPr>
                <w:color w:val="000000"/>
                <w:sz w:val="22"/>
                <w:szCs w:val="22"/>
              </w:rPr>
              <w:t xml:space="preserve"> </w:t>
            </w:r>
            <w:r w:rsidRPr="002B2207">
              <w:rPr>
                <w:color w:val="000000"/>
                <w:sz w:val="22"/>
                <w:szCs w:val="22"/>
              </w:rPr>
              <w:t>niso uvrščeni drugje</w:t>
            </w:r>
          </w:p>
        </w:tc>
        <w:tc>
          <w:tcPr>
            <w:tcW w:w="1134" w:type="dxa"/>
          </w:tcPr>
          <w:p w14:paraId="7668C3FF" w14:textId="7260865D" w:rsidR="00A51EC9" w:rsidRPr="003A703B" w:rsidRDefault="002B2207" w:rsidP="00FF138E">
            <w:pPr>
              <w:jc w:val="right"/>
              <w:rPr>
                <w:sz w:val="22"/>
                <w:szCs w:val="22"/>
              </w:rPr>
            </w:pPr>
            <w:r>
              <w:rPr>
                <w:sz w:val="22"/>
                <w:szCs w:val="22"/>
              </w:rPr>
              <w:t>0,7</w:t>
            </w:r>
          </w:p>
        </w:tc>
      </w:tr>
    </w:tbl>
    <w:p w14:paraId="321953C2" w14:textId="77777777" w:rsidR="00A51EC9" w:rsidRPr="004100CE" w:rsidRDefault="00A51EC9" w:rsidP="00A51EC9">
      <w:r w:rsidRPr="004100CE">
        <w:rPr>
          <w:rFonts w:eastAsia="Calibri"/>
          <w:shd w:val="clear" w:color="auto" w:fill="FFFFFF"/>
          <w:lang w:eastAsia="en-US"/>
        </w:rPr>
        <w:t xml:space="preserve">Opomba: </w:t>
      </w:r>
      <w:bookmarkStart w:id="1" w:name="_Hlk98320860"/>
      <w:r w:rsidRPr="004100CE">
        <w:t>Za objekt, za katerega faktor namembnosti (</w:t>
      </w:r>
      <w:proofErr w:type="spellStart"/>
      <w:r w:rsidRPr="004100CE">
        <w:t>Fn</w:t>
      </w:r>
      <w:proofErr w:type="spellEnd"/>
      <w:r w:rsidRPr="004100CE">
        <w:t xml:space="preserve">) ni določen, pa se izkaže, da je le-ta potreben za izračun komunalnega prispevka, se uporabi </w:t>
      </w:r>
      <w:proofErr w:type="spellStart"/>
      <w:r w:rsidRPr="004100CE">
        <w:t>Fn</w:t>
      </w:r>
      <w:proofErr w:type="spellEnd"/>
      <w:r w:rsidRPr="004100CE">
        <w:t>:</w:t>
      </w:r>
    </w:p>
    <w:p w14:paraId="10AF09E1" w14:textId="53D8A113" w:rsidR="00A51EC9" w:rsidRPr="004100CE" w:rsidRDefault="00A51EC9" w:rsidP="00A51EC9">
      <w:pPr>
        <w:pStyle w:val="Odstavekseznama"/>
        <w:numPr>
          <w:ilvl w:val="0"/>
          <w:numId w:val="24"/>
        </w:numPr>
        <w:rPr>
          <w:rFonts w:cs="Times New Roman"/>
          <w:sz w:val="24"/>
          <w:szCs w:val="24"/>
        </w:rPr>
      </w:pPr>
      <w:r w:rsidRPr="004100CE">
        <w:rPr>
          <w:rFonts w:cs="Times New Roman"/>
          <w:sz w:val="24"/>
          <w:szCs w:val="24"/>
        </w:rPr>
        <w:t>za stavbe = 1</w:t>
      </w:r>
      <w:r w:rsidR="00933E0E">
        <w:rPr>
          <w:rFonts w:cs="Times New Roman"/>
          <w:sz w:val="24"/>
          <w:szCs w:val="24"/>
        </w:rPr>
        <w:t>,0</w:t>
      </w:r>
    </w:p>
    <w:p w14:paraId="4EFAA8D3" w14:textId="77777777" w:rsidR="00A51EC9" w:rsidRDefault="00A51EC9" w:rsidP="00A51EC9">
      <w:pPr>
        <w:pStyle w:val="Odstavekseznama"/>
        <w:numPr>
          <w:ilvl w:val="0"/>
          <w:numId w:val="24"/>
        </w:numPr>
        <w:rPr>
          <w:rFonts w:cs="Times New Roman"/>
          <w:sz w:val="24"/>
          <w:szCs w:val="24"/>
        </w:rPr>
      </w:pPr>
      <w:r w:rsidRPr="004100CE">
        <w:rPr>
          <w:rFonts w:cs="Times New Roman"/>
          <w:sz w:val="24"/>
          <w:szCs w:val="24"/>
        </w:rPr>
        <w:t>za gradbene inženirske objekte = 0,5</w:t>
      </w:r>
    </w:p>
    <w:p w14:paraId="7D619A61" w14:textId="7C087991" w:rsidR="00BE1E16" w:rsidRPr="00A51EC9" w:rsidRDefault="00A51EC9" w:rsidP="00A51EC9">
      <w:pPr>
        <w:pStyle w:val="Odstavekseznama"/>
        <w:numPr>
          <w:ilvl w:val="0"/>
          <w:numId w:val="24"/>
        </w:numPr>
        <w:rPr>
          <w:rFonts w:cs="Times New Roman"/>
          <w:sz w:val="24"/>
          <w:szCs w:val="24"/>
        </w:rPr>
      </w:pPr>
      <w:r w:rsidRPr="00A51EC9">
        <w:rPr>
          <w:sz w:val="24"/>
          <w:szCs w:val="24"/>
        </w:rPr>
        <w:t>za druge gradbene</w:t>
      </w:r>
      <w:r w:rsidR="00866C0D">
        <w:rPr>
          <w:sz w:val="24"/>
          <w:szCs w:val="24"/>
        </w:rPr>
        <w:t xml:space="preserve"> inženirske objekte</w:t>
      </w:r>
      <w:r w:rsidRPr="00A51EC9">
        <w:rPr>
          <w:sz w:val="24"/>
          <w:szCs w:val="24"/>
        </w:rPr>
        <w:t xml:space="preserve"> = 0,</w:t>
      </w:r>
      <w:bookmarkEnd w:id="1"/>
      <w:r w:rsidR="00E605C4">
        <w:rPr>
          <w:sz w:val="24"/>
          <w:szCs w:val="24"/>
        </w:rPr>
        <w:t>7</w:t>
      </w:r>
    </w:p>
    <w:p w14:paraId="1FDB4EB5" w14:textId="77777777" w:rsidR="005F5D31" w:rsidRDefault="005F5D31" w:rsidP="00C44DC0">
      <w:pPr>
        <w:shd w:val="clear" w:color="auto" w:fill="FFFFFF"/>
        <w:jc w:val="both"/>
        <w:rPr>
          <w:rFonts w:eastAsia="Calibri"/>
          <w:shd w:val="clear" w:color="auto" w:fill="FFFFFF"/>
          <w:lang w:eastAsia="en-US"/>
        </w:rPr>
      </w:pPr>
    </w:p>
    <w:p w14:paraId="5B1A3D90" w14:textId="77777777" w:rsidR="0055756A" w:rsidRPr="00C44DC0" w:rsidRDefault="0055756A" w:rsidP="00C44DC0">
      <w:pPr>
        <w:shd w:val="clear" w:color="auto" w:fill="FFFFFF"/>
        <w:jc w:val="both"/>
        <w:rPr>
          <w:rFonts w:eastAsia="Calibri"/>
          <w:shd w:val="clear" w:color="auto" w:fill="FFFFFF"/>
          <w:lang w:eastAsia="en-US"/>
        </w:rPr>
      </w:pPr>
    </w:p>
    <w:p w14:paraId="4856C8DF" w14:textId="1D0A1FCD" w:rsidR="00BE1E16" w:rsidRPr="00C44DC0" w:rsidRDefault="0002627E" w:rsidP="00C44DC0">
      <w:pPr>
        <w:jc w:val="center"/>
        <w:rPr>
          <w:rFonts w:eastAsia="Calibri"/>
          <w:b/>
          <w:bCs/>
          <w:shd w:val="clear" w:color="auto" w:fill="FFFFFF"/>
          <w:lang w:eastAsia="en-US"/>
        </w:rPr>
      </w:pPr>
      <w:r>
        <w:rPr>
          <w:rFonts w:eastAsia="Calibri"/>
          <w:b/>
          <w:bCs/>
          <w:shd w:val="clear" w:color="auto" w:fill="FFFFFF"/>
          <w:lang w:eastAsia="en-US"/>
        </w:rPr>
        <w:t>8</w:t>
      </w:r>
      <w:r w:rsidR="00BE1E16" w:rsidRPr="00C44DC0">
        <w:rPr>
          <w:rFonts w:eastAsia="Calibri"/>
          <w:b/>
          <w:bCs/>
          <w:shd w:val="clear" w:color="auto" w:fill="FFFFFF"/>
          <w:lang w:eastAsia="en-US"/>
        </w:rPr>
        <w:t>. člen</w:t>
      </w:r>
    </w:p>
    <w:p w14:paraId="4464EB34" w14:textId="77777777" w:rsidR="00BE1E16" w:rsidRPr="00C44DC0" w:rsidRDefault="00BE1E16" w:rsidP="00C44DC0">
      <w:pPr>
        <w:jc w:val="center"/>
        <w:rPr>
          <w:rFonts w:eastAsia="Calibri"/>
          <w:b/>
          <w:bCs/>
          <w:lang w:eastAsia="en-US"/>
        </w:rPr>
      </w:pPr>
      <w:r w:rsidRPr="00C44DC0">
        <w:rPr>
          <w:rFonts w:eastAsia="Calibri"/>
          <w:b/>
          <w:bCs/>
          <w:shd w:val="clear" w:color="auto" w:fill="FFFFFF"/>
          <w:lang w:eastAsia="en-US"/>
        </w:rPr>
        <w:t xml:space="preserve"> (računski faktor površine</w:t>
      </w:r>
      <w:r w:rsidRPr="00C44DC0">
        <w:rPr>
          <w:rFonts w:eastAsia="Calibri"/>
          <w:b/>
          <w:bCs/>
          <w:lang w:eastAsia="en-US"/>
        </w:rPr>
        <w:t>)</w:t>
      </w:r>
    </w:p>
    <w:p w14:paraId="6E9FFBB6" w14:textId="77777777" w:rsidR="00BE1E16" w:rsidRPr="00C44DC0" w:rsidRDefault="00BE1E16" w:rsidP="00C44DC0">
      <w:pPr>
        <w:jc w:val="both"/>
        <w:rPr>
          <w:rFonts w:eastAsia="Calibri"/>
          <w:lang w:eastAsia="en-US"/>
        </w:rPr>
      </w:pPr>
    </w:p>
    <w:p w14:paraId="2977DBBB" w14:textId="21726011" w:rsidR="00984204" w:rsidRDefault="00BE1E16" w:rsidP="00B61C69">
      <w:pPr>
        <w:numPr>
          <w:ilvl w:val="0"/>
          <w:numId w:val="11"/>
        </w:numPr>
        <w:contextualSpacing/>
        <w:jc w:val="both"/>
        <w:rPr>
          <w:rFonts w:eastAsia="Calibri"/>
          <w:lang w:eastAsia="en-US"/>
        </w:rPr>
      </w:pPr>
      <w:r w:rsidRPr="00C44DC0">
        <w:rPr>
          <w:rFonts w:eastAsia="Calibri"/>
          <w:lang w:eastAsia="en-US"/>
        </w:rPr>
        <w:t>Pri odmeri komunalnega prispevka za obstoječo komunalno opremo zaradi izboljšanja opremljenosti</w:t>
      </w:r>
      <w:r w:rsidR="00805FD3" w:rsidRPr="00805FD3">
        <w:t xml:space="preserve"> </w:t>
      </w:r>
      <w:r w:rsidR="00805FD3" w:rsidRPr="00805FD3">
        <w:rPr>
          <w:rFonts w:eastAsia="Calibri"/>
          <w:lang w:eastAsia="en-US"/>
        </w:rPr>
        <w:t>in, če ne obstajajo natančnejši podatki</w:t>
      </w:r>
      <w:r w:rsidRPr="00C44DC0">
        <w:rPr>
          <w:rFonts w:eastAsia="Calibri"/>
          <w:lang w:eastAsia="en-US"/>
        </w:rPr>
        <w:t xml:space="preserve"> </w:t>
      </w:r>
      <w:r w:rsidR="00AB6738">
        <w:rPr>
          <w:rFonts w:eastAsia="Calibri"/>
          <w:lang w:eastAsia="en-US"/>
        </w:rPr>
        <w:t>ter v primerih</w:t>
      </w:r>
      <w:r w:rsidR="00984204">
        <w:rPr>
          <w:rFonts w:eastAsia="Calibri"/>
          <w:lang w:eastAsia="en-US"/>
        </w:rPr>
        <w:t>:</w:t>
      </w:r>
    </w:p>
    <w:p w14:paraId="57E032B6" w14:textId="09E7769D" w:rsidR="00984204" w:rsidRPr="00984204" w:rsidRDefault="00984204" w:rsidP="00984204">
      <w:pPr>
        <w:numPr>
          <w:ilvl w:val="1"/>
          <w:numId w:val="11"/>
        </w:numPr>
        <w:contextualSpacing/>
        <w:jc w:val="both"/>
        <w:rPr>
          <w:rFonts w:eastAsia="Calibri"/>
          <w:lang w:eastAsia="en-US"/>
        </w:rPr>
      </w:pPr>
      <w:r w:rsidRPr="00984204">
        <w:rPr>
          <w:rFonts w:eastAsia="Calibri"/>
          <w:lang w:eastAsia="en-US"/>
        </w:rPr>
        <w:t>odmer</w:t>
      </w:r>
      <w:r>
        <w:rPr>
          <w:rFonts w:eastAsia="Calibri"/>
          <w:lang w:eastAsia="en-US"/>
        </w:rPr>
        <w:t>e</w:t>
      </w:r>
      <w:r w:rsidRPr="00984204">
        <w:rPr>
          <w:rFonts w:eastAsia="Calibri"/>
          <w:lang w:eastAsia="en-US"/>
        </w:rPr>
        <w:t xml:space="preserve"> komunalnega prispevka pred legalizacijo obstoječih objektov, če ta še ni bil odmerjen in plačan oziroma na drug način še niso bile izpolnjene obveznosti v zvezi s plačilom komunalnega prispevka,</w:t>
      </w:r>
    </w:p>
    <w:p w14:paraId="2358E9A9" w14:textId="2508ADBF" w:rsidR="00984204" w:rsidRDefault="00984204" w:rsidP="00984204">
      <w:pPr>
        <w:numPr>
          <w:ilvl w:val="1"/>
          <w:numId w:val="11"/>
        </w:numPr>
        <w:contextualSpacing/>
        <w:jc w:val="both"/>
        <w:rPr>
          <w:rFonts w:eastAsia="Calibri"/>
          <w:lang w:eastAsia="en-US"/>
        </w:rPr>
      </w:pPr>
      <w:r w:rsidRPr="00984204">
        <w:rPr>
          <w:rFonts w:eastAsia="Calibri"/>
          <w:lang w:eastAsia="en-US"/>
        </w:rPr>
        <w:t>odmer</w:t>
      </w:r>
      <w:r>
        <w:rPr>
          <w:rFonts w:eastAsia="Calibri"/>
          <w:lang w:eastAsia="en-US"/>
        </w:rPr>
        <w:t>e</w:t>
      </w:r>
      <w:r w:rsidRPr="00984204">
        <w:rPr>
          <w:rFonts w:eastAsia="Calibri"/>
          <w:lang w:eastAsia="en-US"/>
        </w:rPr>
        <w:t xml:space="preserve"> komunalnega prispevka</w:t>
      </w:r>
      <w:r>
        <w:rPr>
          <w:rFonts w:eastAsia="Calibri"/>
          <w:lang w:eastAsia="en-US"/>
        </w:rPr>
        <w:t xml:space="preserve"> zaradi naknadne priključitve na komunalno opremo</w:t>
      </w:r>
      <w:r w:rsidRPr="00984204">
        <w:rPr>
          <w:rFonts w:eastAsia="Calibri"/>
          <w:lang w:eastAsia="en-US"/>
        </w:rPr>
        <w:t>, za katero mu komunalni prispevek še ni bil odmerjen, in pri tem ne gre za izboljšanje opremljenosti stavbnega zemljišča</w:t>
      </w:r>
      <w:r>
        <w:rPr>
          <w:rFonts w:eastAsia="Calibri"/>
          <w:lang w:eastAsia="en-US"/>
        </w:rPr>
        <w:t>,</w:t>
      </w:r>
    </w:p>
    <w:p w14:paraId="0A885C72" w14:textId="58FE3873" w:rsidR="00BE1E16" w:rsidRPr="00984204" w:rsidRDefault="00BE1E16" w:rsidP="00984204">
      <w:pPr>
        <w:ind w:left="720"/>
        <w:contextualSpacing/>
        <w:jc w:val="both"/>
        <w:rPr>
          <w:rFonts w:eastAsia="Calibri"/>
          <w:lang w:eastAsia="en-US"/>
        </w:rPr>
      </w:pPr>
      <w:r w:rsidRPr="00984204">
        <w:rPr>
          <w:rFonts w:eastAsia="Calibri"/>
          <w:lang w:eastAsia="en-US"/>
        </w:rPr>
        <w:t>se za izračun komunalnega prispevka namesto površine gradbene parcele stavbe upošteva površina, ki se določi kot zmnožek površine zemljišča pod stavbo in računskega faktorja površine (</w:t>
      </w:r>
      <w:proofErr w:type="spellStart"/>
      <w:r w:rsidRPr="00984204">
        <w:rPr>
          <w:rFonts w:eastAsia="Calibri"/>
          <w:lang w:eastAsia="en-US"/>
        </w:rPr>
        <w:t>Fp</w:t>
      </w:r>
      <w:proofErr w:type="spellEnd"/>
      <w:r w:rsidRPr="00984204">
        <w:rPr>
          <w:rFonts w:eastAsia="Calibri"/>
          <w:lang w:eastAsia="en-US"/>
        </w:rPr>
        <w:t xml:space="preserve">). </w:t>
      </w:r>
    </w:p>
    <w:p w14:paraId="2C4F4779" w14:textId="1A9BB365" w:rsidR="00BE1E16" w:rsidRPr="004462DB" w:rsidRDefault="00BE1E16" w:rsidP="00B61C69">
      <w:pPr>
        <w:numPr>
          <w:ilvl w:val="0"/>
          <w:numId w:val="11"/>
        </w:numPr>
        <w:contextualSpacing/>
        <w:jc w:val="both"/>
        <w:rPr>
          <w:rFonts w:eastAsia="Calibri"/>
          <w:shd w:val="clear" w:color="auto" w:fill="FFFFFF"/>
          <w:lang w:eastAsia="en-US"/>
        </w:rPr>
      </w:pPr>
      <w:r w:rsidRPr="004462DB">
        <w:rPr>
          <w:rFonts w:eastAsia="Calibri"/>
          <w:lang w:eastAsia="en-US"/>
        </w:rPr>
        <w:t xml:space="preserve">V primeru </w:t>
      </w:r>
      <w:r w:rsidR="00097B1C" w:rsidRPr="004462DB">
        <w:rPr>
          <w:rFonts w:eastAsia="Calibri"/>
          <w:lang w:eastAsia="en-US"/>
        </w:rPr>
        <w:t>iz prejšnjega odstavka tega člena</w:t>
      </w:r>
      <w:r w:rsidR="003A703B">
        <w:rPr>
          <w:rFonts w:eastAsia="Calibri"/>
          <w:lang w:eastAsia="en-US"/>
        </w:rPr>
        <w:t>,</w:t>
      </w:r>
      <w:r w:rsidR="00097B1C" w:rsidRPr="004462DB">
        <w:rPr>
          <w:rFonts w:eastAsia="Calibri"/>
          <w:lang w:eastAsia="en-US"/>
        </w:rPr>
        <w:t xml:space="preserve"> </w:t>
      </w:r>
      <w:r w:rsidR="0025343A" w:rsidRPr="004462DB">
        <w:rPr>
          <w:rFonts w:eastAsia="Calibri"/>
          <w:lang w:eastAsia="en-US"/>
        </w:rPr>
        <w:t xml:space="preserve">se </w:t>
      </w:r>
      <w:r w:rsidRPr="004462DB">
        <w:rPr>
          <w:rFonts w:eastAsia="Calibri"/>
          <w:lang w:eastAsia="en-US"/>
        </w:rPr>
        <w:t>računski faktor površine (</w:t>
      </w:r>
      <w:proofErr w:type="spellStart"/>
      <w:r w:rsidRPr="004462DB">
        <w:rPr>
          <w:rFonts w:eastAsia="Calibri"/>
          <w:lang w:eastAsia="en-US"/>
        </w:rPr>
        <w:t>F</w:t>
      </w:r>
      <w:r w:rsidRPr="004462DB">
        <w:rPr>
          <w:rFonts w:eastAsia="Calibri"/>
          <w:vertAlign w:val="subscript"/>
          <w:lang w:eastAsia="en-US"/>
        </w:rPr>
        <w:t>p</w:t>
      </w:r>
      <w:proofErr w:type="spellEnd"/>
      <w:r w:rsidRPr="004462DB">
        <w:rPr>
          <w:rFonts w:eastAsia="Calibri"/>
          <w:lang w:eastAsia="en-US"/>
        </w:rPr>
        <w:t xml:space="preserve">) za </w:t>
      </w:r>
      <w:r w:rsidR="0025343A" w:rsidRPr="004462DB">
        <w:rPr>
          <w:rFonts w:eastAsia="Calibri"/>
          <w:lang w:eastAsia="en-US"/>
        </w:rPr>
        <w:t>vse</w:t>
      </w:r>
      <w:r w:rsidRPr="004462DB">
        <w:rPr>
          <w:rFonts w:eastAsia="Calibri"/>
          <w:lang w:eastAsia="en-US"/>
        </w:rPr>
        <w:t xml:space="preserve"> </w:t>
      </w:r>
      <w:r w:rsidR="00D641AA" w:rsidRPr="004462DB">
        <w:t xml:space="preserve">vrste stavb določi </w:t>
      </w:r>
      <w:r w:rsidR="003A703B">
        <w:t xml:space="preserve">z </w:t>
      </w:r>
      <w:r w:rsidR="00984204">
        <w:t>1</w:t>
      </w:r>
      <w:r w:rsidR="00D641AA" w:rsidRPr="004462DB">
        <w:t>,5</w:t>
      </w:r>
      <w:r w:rsidR="0055756A" w:rsidRPr="004462DB">
        <w:rPr>
          <w:rFonts w:eastAsia="Calibri"/>
          <w:lang w:eastAsia="en-US"/>
        </w:rPr>
        <w:t>.</w:t>
      </w:r>
    </w:p>
    <w:p w14:paraId="7875C06D" w14:textId="77777777" w:rsidR="00BE1E16" w:rsidRDefault="00BE1E16" w:rsidP="00C44DC0">
      <w:pPr>
        <w:jc w:val="center"/>
        <w:rPr>
          <w:rFonts w:eastAsia="Calibri"/>
          <w:shd w:val="clear" w:color="auto" w:fill="FFFFFF"/>
          <w:lang w:eastAsia="en-US"/>
        </w:rPr>
      </w:pPr>
    </w:p>
    <w:p w14:paraId="5863FCC6" w14:textId="5345FF09" w:rsidR="00BE1E16" w:rsidRPr="00C44DC0" w:rsidRDefault="00B114C1" w:rsidP="00C44DC0">
      <w:pPr>
        <w:jc w:val="center"/>
        <w:rPr>
          <w:rFonts w:eastAsia="Calibri"/>
          <w:b/>
          <w:bCs/>
          <w:shd w:val="clear" w:color="auto" w:fill="FFFFFF"/>
          <w:lang w:eastAsia="en-US"/>
        </w:rPr>
      </w:pPr>
      <w:r>
        <w:rPr>
          <w:rFonts w:eastAsia="Calibri"/>
          <w:b/>
          <w:bCs/>
          <w:shd w:val="clear" w:color="auto" w:fill="FFFFFF"/>
          <w:lang w:eastAsia="en-US"/>
        </w:rPr>
        <w:t>9</w:t>
      </w:r>
      <w:r w:rsidR="00BE1E16" w:rsidRPr="00C44DC0">
        <w:rPr>
          <w:rFonts w:eastAsia="Calibri"/>
          <w:b/>
          <w:bCs/>
          <w:shd w:val="clear" w:color="auto" w:fill="FFFFFF"/>
          <w:lang w:eastAsia="en-US"/>
        </w:rPr>
        <w:t>. člen</w:t>
      </w:r>
    </w:p>
    <w:p w14:paraId="0EE5166B" w14:textId="77777777" w:rsidR="00BE1E16" w:rsidRDefault="00BE1E16" w:rsidP="00C44DC0">
      <w:pPr>
        <w:jc w:val="center"/>
        <w:rPr>
          <w:rFonts w:eastAsia="Calibri"/>
          <w:b/>
          <w:bCs/>
          <w:lang w:eastAsia="en-US"/>
        </w:rPr>
      </w:pPr>
      <w:r w:rsidRPr="00C44DC0">
        <w:rPr>
          <w:rFonts w:eastAsia="Calibri"/>
          <w:b/>
          <w:bCs/>
          <w:lang w:eastAsia="en-US"/>
        </w:rPr>
        <w:t>(prispevna stopnja zavezanca)</w:t>
      </w:r>
    </w:p>
    <w:p w14:paraId="0599BC39" w14:textId="77777777" w:rsidR="00AE2E0C" w:rsidRPr="00C44DC0" w:rsidRDefault="00AE2E0C" w:rsidP="00C44DC0">
      <w:pPr>
        <w:jc w:val="center"/>
        <w:rPr>
          <w:rFonts w:eastAsia="Calibri"/>
          <w:b/>
          <w:bCs/>
          <w:lang w:eastAsia="en-US"/>
        </w:rPr>
      </w:pPr>
    </w:p>
    <w:p w14:paraId="75D696C5" w14:textId="6104FD17" w:rsidR="00BE1E16" w:rsidRDefault="00BE1E16" w:rsidP="00C44DC0">
      <w:pPr>
        <w:rPr>
          <w:rFonts w:eastAsia="Calibri"/>
          <w:lang w:eastAsia="en-US"/>
        </w:rPr>
      </w:pPr>
      <w:r w:rsidRPr="0098223A">
        <w:rPr>
          <w:rFonts w:eastAsia="Calibri"/>
          <w:lang w:eastAsia="en-US"/>
        </w:rPr>
        <w:t>Prispevna stopnja zavezanca (</w:t>
      </w:r>
      <w:proofErr w:type="spellStart"/>
      <w:r w:rsidRPr="0098223A">
        <w:rPr>
          <w:rFonts w:eastAsia="Calibri"/>
          <w:lang w:eastAsia="en-US"/>
        </w:rPr>
        <w:t>p</w:t>
      </w:r>
      <w:r w:rsidRPr="0098223A">
        <w:rPr>
          <w:rFonts w:eastAsia="Calibri"/>
          <w:vertAlign w:val="subscript"/>
          <w:lang w:eastAsia="en-US"/>
        </w:rPr>
        <w:t>sz</w:t>
      </w:r>
      <w:proofErr w:type="spellEnd"/>
      <w:r w:rsidRPr="0098223A">
        <w:rPr>
          <w:rFonts w:eastAsia="Calibri"/>
          <w:lang w:eastAsia="en-US"/>
        </w:rPr>
        <w:t xml:space="preserve">) </w:t>
      </w:r>
      <w:r w:rsidR="0056128B">
        <w:rPr>
          <w:rFonts w:eastAsia="Calibri"/>
          <w:lang w:eastAsia="en-US"/>
        </w:rPr>
        <w:t>j</w:t>
      </w:r>
      <w:r w:rsidR="00017FE5" w:rsidRPr="0098223A">
        <w:rPr>
          <w:rFonts w:eastAsia="Calibri"/>
          <w:lang w:eastAsia="en-US"/>
        </w:rPr>
        <w:t>e</w:t>
      </w:r>
      <w:r w:rsidRPr="0098223A">
        <w:rPr>
          <w:rFonts w:eastAsia="Calibri"/>
          <w:lang w:eastAsia="en-US"/>
        </w:rPr>
        <w:t xml:space="preserve"> </w:t>
      </w:r>
      <w:r w:rsidR="0056128B">
        <w:rPr>
          <w:rFonts w:eastAsia="Calibri"/>
          <w:lang w:eastAsia="en-US"/>
        </w:rPr>
        <w:t xml:space="preserve">po </w:t>
      </w:r>
      <w:r w:rsidRPr="0098223A">
        <w:rPr>
          <w:rFonts w:eastAsia="Calibri"/>
          <w:lang w:eastAsia="en-US"/>
        </w:rPr>
        <w:t>vrst</w:t>
      </w:r>
      <w:r w:rsidR="0056128B">
        <w:rPr>
          <w:rFonts w:eastAsia="Calibri"/>
          <w:lang w:eastAsia="en-US"/>
        </w:rPr>
        <w:t>ah</w:t>
      </w:r>
      <w:r w:rsidRPr="0098223A">
        <w:rPr>
          <w:rFonts w:eastAsia="Calibri"/>
          <w:lang w:eastAsia="en-US"/>
        </w:rPr>
        <w:t xml:space="preserve"> obstoječe komunalne opreme</w:t>
      </w:r>
      <w:r w:rsidR="009767F8">
        <w:rPr>
          <w:rFonts w:eastAsia="Calibri"/>
          <w:lang w:eastAsia="en-US"/>
        </w:rPr>
        <w:t>,</w:t>
      </w:r>
      <w:r w:rsidR="00624B60" w:rsidRPr="0098223A">
        <w:rPr>
          <w:rFonts w:eastAsia="Calibri"/>
          <w:lang w:eastAsia="en-US"/>
        </w:rPr>
        <w:t xml:space="preserve"> </w:t>
      </w:r>
      <w:r w:rsidR="0056128B">
        <w:rPr>
          <w:rFonts w:eastAsia="Calibri"/>
          <w:lang w:eastAsia="en-US"/>
        </w:rPr>
        <w:t>določena: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tblGrid>
      <w:tr w:rsidR="00510E4B" w:rsidRPr="006C4CE7" w14:paraId="43BDA83B" w14:textId="77777777" w:rsidTr="00F450FB">
        <w:tc>
          <w:tcPr>
            <w:tcW w:w="2977" w:type="dxa"/>
            <w:vAlign w:val="bottom"/>
          </w:tcPr>
          <w:p w14:paraId="6E4EB7FC" w14:textId="2D717576" w:rsidR="00510E4B" w:rsidRPr="009B0EB2" w:rsidRDefault="00510E4B" w:rsidP="00510E4B">
            <w:pPr>
              <w:pStyle w:val="Telobesedila"/>
              <w:numPr>
                <w:ilvl w:val="0"/>
                <w:numId w:val="21"/>
              </w:numPr>
              <w:jc w:val="left"/>
              <w:rPr>
                <w:rFonts w:ascii="Times New Roman" w:hAnsi="Times New Roman"/>
                <w:szCs w:val="22"/>
                <w:lang w:val="sl-SI"/>
              </w:rPr>
            </w:pPr>
            <w:r w:rsidRPr="009B0EB2">
              <w:rPr>
                <w:rFonts w:ascii="Times New Roman" w:hAnsi="Times New Roman"/>
                <w:szCs w:val="22"/>
                <w:lang w:val="sl-SI"/>
              </w:rPr>
              <w:t>Cestno omrežje</w:t>
            </w:r>
          </w:p>
        </w:tc>
        <w:tc>
          <w:tcPr>
            <w:tcW w:w="1701" w:type="dxa"/>
          </w:tcPr>
          <w:p w14:paraId="5CF525F2" w14:textId="11C22775" w:rsidR="00510E4B" w:rsidRPr="00510E4B" w:rsidRDefault="00A30729" w:rsidP="00510E4B">
            <w:pPr>
              <w:pStyle w:val="Telobesedila"/>
              <w:jc w:val="center"/>
              <w:rPr>
                <w:rFonts w:ascii="Times New Roman" w:hAnsi="Times New Roman"/>
                <w:szCs w:val="22"/>
              </w:rPr>
            </w:pPr>
            <w:r>
              <w:rPr>
                <w:rFonts w:ascii="Times New Roman" w:hAnsi="Times New Roman"/>
              </w:rPr>
              <w:t>66</w:t>
            </w:r>
            <w:r w:rsidR="00510E4B" w:rsidRPr="00510E4B">
              <w:rPr>
                <w:rFonts w:ascii="Times New Roman" w:hAnsi="Times New Roman"/>
              </w:rPr>
              <w:t>%</w:t>
            </w:r>
          </w:p>
        </w:tc>
      </w:tr>
      <w:tr w:rsidR="00510E4B" w:rsidRPr="006C4CE7" w14:paraId="0100BD2A" w14:textId="77777777" w:rsidTr="00F450FB">
        <w:tc>
          <w:tcPr>
            <w:tcW w:w="2977" w:type="dxa"/>
            <w:vAlign w:val="bottom"/>
          </w:tcPr>
          <w:p w14:paraId="4187EB02" w14:textId="74140967" w:rsidR="00510E4B" w:rsidRPr="009B0EB2" w:rsidRDefault="00510E4B" w:rsidP="00510E4B">
            <w:pPr>
              <w:pStyle w:val="Telobesedila"/>
              <w:numPr>
                <w:ilvl w:val="0"/>
                <w:numId w:val="21"/>
              </w:numPr>
              <w:jc w:val="left"/>
              <w:rPr>
                <w:rFonts w:ascii="Times New Roman" w:hAnsi="Times New Roman"/>
                <w:color w:val="000000"/>
                <w:szCs w:val="22"/>
                <w:lang w:val="sl-SI"/>
              </w:rPr>
            </w:pPr>
            <w:r w:rsidRPr="009B0EB2">
              <w:rPr>
                <w:rFonts w:ascii="Times New Roman" w:hAnsi="Times New Roman"/>
                <w:color w:val="000000"/>
                <w:szCs w:val="22"/>
                <w:lang w:val="sl-SI"/>
              </w:rPr>
              <w:t>Vodovodno omrežje</w:t>
            </w:r>
          </w:p>
        </w:tc>
        <w:tc>
          <w:tcPr>
            <w:tcW w:w="1701" w:type="dxa"/>
          </w:tcPr>
          <w:p w14:paraId="164F7323" w14:textId="3175A5F3" w:rsidR="00510E4B" w:rsidRPr="00510E4B" w:rsidRDefault="00A30729" w:rsidP="00510E4B">
            <w:pPr>
              <w:pStyle w:val="Telobesedila"/>
              <w:jc w:val="center"/>
              <w:rPr>
                <w:rFonts w:ascii="Times New Roman" w:hAnsi="Times New Roman"/>
                <w:szCs w:val="22"/>
              </w:rPr>
            </w:pPr>
            <w:r>
              <w:rPr>
                <w:rFonts w:ascii="Times New Roman" w:hAnsi="Times New Roman"/>
              </w:rPr>
              <w:t>42</w:t>
            </w:r>
            <w:r w:rsidR="00510E4B" w:rsidRPr="00510E4B">
              <w:rPr>
                <w:rFonts w:ascii="Times New Roman" w:hAnsi="Times New Roman"/>
              </w:rPr>
              <w:t>%</w:t>
            </w:r>
          </w:p>
        </w:tc>
      </w:tr>
      <w:tr w:rsidR="00510E4B" w:rsidRPr="006C4CE7" w14:paraId="56D5524F" w14:textId="77777777" w:rsidTr="00F450FB">
        <w:tc>
          <w:tcPr>
            <w:tcW w:w="2977" w:type="dxa"/>
            <w:vAlign w:val="bottom"/>
          </w:tcPr>
          <w:p w14:paraId="5DEBA7D0" w14:textId="77777777" w:rsidR="00510E4B" w:rsidRPr="009B0EB2" w:rsidRDefault="00510E4B" w:rsidP="00510E4B">
            <w:pPr>
              <w:pStyle w:val="Telobesedila"/>
              <w:numPr>
                <w:ilvl w:val="0"/>
                <w:numId w:val="21"/>
              </w:numPr>
              <w:jc w:val="left"/>
              <w:rPr>
                <w:rFonts w:ascii="Times New Roman" w:hAnsi="Times New Roman"/>
                <w:szCs w:val="22"/>
                <w:lang w:val="sl-SI"/>
              </w:rPr>
            </w:pPr>
            <w:r w:rsidRPr="009B0EB2">
              <w:rPr>
                <w:rFonts w:ascii="Times New Roman" w:hAnsi="Times New Roman"/>
                <w:color w:val="000000"/>
                <w:szCs w:val="22"/>
                <w:lang w:val="sl-SI"/>
              </w:rPr>
              <w:t>Kanalizacija</w:t>
            </w:r>
          </w:p>
        </w:tc>
        <w:tc>
          <w:tcPr>
            <w:tcW w:w="1701" w:type="dxa"/>
          </w:tcPr>
          <w:p w14:paraId="3491C23C" w14:textId="3FC42501" w:rsidR="00510E4B" w:rsidRPr="00510E4B" w:rsidRDefault="00A30729" w:rsidP="00510E4B">
            <w:pPr>
              <w:pStyle w:val="Telobesedila"/>
              <w:jc w:val="center"/>
              <w:rPr>
                <w:rFonts w:ascii="Times New Roman" w:hAnsi="Times New Roman"/>
                <w:szCs w:val="22"/>
              </w:rPr>
            </w:pPr>
            <w:r>
              <w:rPr>
                <w:rFonts w:ascii="Times New Roman" w:hAnsi="Times New Roman"/>
              </w:rPr>
              <w:t>31</w:t>
            </w:r>
            <w:r w:rsidR="00510E4B" w:rsidRPr="00510E4B">
              <w:rPr>
                <w:rFonts w:ascii="Times New Roman" w:hAnsi="Times New Roman"/>
              </w:rPr>
              <w:t>%</w:t>
            </w:r>
          </w:p>
        </w:tc>
      </w:tr>
      <w:tr w:rsidR="00510E4B" w:rsidRPr="006C4CE7" w14:paraId="3B26FD9C" w14:textId="77777777" w:rsidTr="00F450FB">
        <w:tc>
          <w:tcPr>
            <w:tcW w:w="2977" w:type="dxa"/>
            <w:vAlign w:val="bottom"/>
          </w:tcPr>
          <w:p w14:paraId="50C38AB9" w14:textId="5ACF34DF" w:rsidR="00510E4B" w:rsidRPr="009B0EB2" w:rsidRDefault="00A30729" w:rsidP="00510E4B">
            <w:pPr>
              <w:pStyle w:val="Telobesedila"/>
              <w:numPr>
                <w:ilvl w:val="0"/>
                <w:numId w:val="21"/>
              </w:numPr>
              <w:jc w:val="left"/>
              <w:rPr>
                <w:rFonts w:ascii="Times New Roman" w:hAnsi="Times New Roman"/>
                <w:szCs w:val="22"/>
                <w:lang w:val="sl-SI"/>
              </w:rPr>
            </w:pPr>
            <w:r>
              <w:rPr>
                <w:rFonts w:ascii="Times New Roman" w:hAnsi="Times New Roman"/>
                <w:color w:val="000000"/>
                <w:szCs w:val="22"/>
                <w:lang w:val="sl-SI"/>
              </w:rPr>
              <w:t>Javne površine</w:t>
            </w:r>
            <w:r w:rsidR="00510E4B" w:rsidRPr="009B0EB2">
              <w:rPr>
                <w:rFonts w:ascii="Times New Roman" w:hAnsi="Times New Roman"/>
                <w:color w:val="000000"/>
                <w:szCs w:val="22"/>
                <w:lang w:val="sl-SI"/>
              </w:rPr>
              <w:t xml:space="preserve"> </w:t>
            </w:r>
          </w:p>
        </w:tc>
        <w:tc>
          <w:tcPr>
            <w:tcW w:w="1701" w:type="dxa"/>
          </w:tcPr>
          <w:p w14:paraId="78ADB5DE" w14:textId="3D0773CE" w:rsidR="00510E4B" w:rsidRPr="00510E4B" w:rsidRDefault="00510E4B" w:rsidP="00510E4B">
            <w:pPr>
              <w:pStyle w:val="Telobesedila"/>
              <w:jc w:val="center"/>
              <w:rPr>
                <w:rFonts w:ascii="Times New Roman" w:hAnsi="Times New Roman"/>
                <w:szCs w:val="22"/>
              </w:rPr>
            </w:pPr>
            <w:r w:rsidRPr="00510E4B">
              <w:rPr>
                <w:rFonts w:ascii="Times New Roman" w:hAnsi="Times New Roman"/>
              </w:rPr>
              <w:t>100%</w:t>
            </w:r>
          </w:p>
        </w:tc>
      </w:tr>
    </w:tbl>
    <w:p w14:paraId="43EF7851" w14:textId="77777777" w:rsidR="0056128B" w:rsidRPr="0098223A" w:rsidRDefault="0056128B" w:rsidP="00C44DC0">
      <w:pPr>
        <w:rPr>
          <w:rFonts w:eastAsia="Calibri"/>
          <w:lang w:eastAsia="en-US"/>
        </w:rPr>
      </w:pPr>
    </w:p>
    <w:p w14:paraId="4462E905" w14:textId="77777777" w:rsidR="00BE1E16" w:rsidRPr="0098223A" w:rsidRDefault="00BE1E16" w:rsidP="00C44DC0">
      <w:pPr>
        <w:rPr>
          <w:rFonts w:eastAsia="Calibri"/>
          <w:lang w:eastAsia="en-US"/>
        </w:rPr>
      </w:pPr>
    </w:p>
    <w:p w14:paraId="21923C8F" w14:textId="77777777" w:rsidR="00BE1E16" w:rsidRPr="0098223A" w:rsidRDefault="00BE1E16" w:rsidP="00C44DC0">
      <w:pPr>
        <w:jc w:val="center"/>
        <w:rPr>
          <w:rFonts w:eastAsia="Calibri"/>
          <w:b/>
          <w:bCs/>
          <w:lang w:eastAsia="en-US"/>
        </w:rPr>
      </w:pPr>
      <w:r w:rsidRPr="0098223A">
        <w:rPr>
          <w:rFonts w:eastAsia="Calibri"/>
          <w:b/>
          <w:bCs/>
          <w:lang w:eastAsia="en-US"/>
        </w:rPr>
        <w:t>III. IZRAČUN KOMUNALN</w:t>
      </w:r>
      <w:r w:rsidR="00455011" w:rsidRPr="0098223A">
        <w:rPr>
          <w:rFonts w:eastAsia="Calibri"/>
          <w:b/>
          <w:bCs/>
          <w:lang w:eastAsia="en-US"/>
        </w:rPr>
        <w:t>E</w:t>
      </w:r>
      <w:r w:rsidRPr="0098223A">
        <w:rPr>
          <w:rFonts w:eastAsia="Calibri"/>
          <w:b/>
          <w:bCs/>
          <w:lang w:eastAsia="en-US"/>
        </w:rPr>
        <w:t>GA PRISPEVKA</w:t>
      </w:r>
    </w:p>
    <w:p w14:paraId="022A0854" w14:textId="77777777" w:rsidR="00BB469E" w:rsidRPr="00C44DC0" w:rsidRDefault="00BB469E" w:rsidP="00C44DC0">
      <w:pPr>
        <w:jc w:val="center"/>
        <w:rPr>
          <w:rFonts w:eastAsia="Calibri"/>
          <w:b/>
          <w:bCs/>
          <w:lang w:eastAsia="en-US"/>
        </w:rPr>
      </w:pPr>
    </w:p>
    <w:p w14:paraId="218E31D8" w14:textId="59B0911A" w:rsidR="00BE1E16" w:rsidRPr="00C44DC0" w:rsidRDefault="00BE1E16" w:rsidP="00C44DC0">
      <w:pPr>
        <w:jc w:val="center"/>
        <w:rPr>
          <w:rFonts w:eastAsia="Calibri"/>
          <w:b/>
          <w:bCs/>
          <w:shd w:val="clear" w:color="auto" w:fill="FFFFFF"/>
          <w:lang w:eastAsia="en-US"/>
        </w:rPr>
      </w:pPr>
      <w:r w:rsidRPr="00C44DC0">
        <w:rPr>
          <w:rFonts w:eastAsia="Calibri"/>
          <w:b/>
          <w:bCs/>
          <w:shd w:val="clear" w:color="auto" w:fill="FFFFFF"/>
          <w:lang w:eastAsia="en-US"/>
        </w:rPr>
        <w:t>1</w:t>
      </w:r>
      <w:r w:rsidR="00B114C1">
        <w:rPr>
          <w:rFonts w:eastAsia="Calibri"/>
          <w:b/>
          <w:bCs/>
          <w:shd w:val="clear" w:color="auto" w:fill="FFFFFF"/>
          <w:lang w:eastAsia="en-US"/>
        </w:rPr>
        <w:t>0</w:t>
      </w:r>
      <w:r w:rsidRPr="00C44DC0">
        <w:rPr>
          <w:rFonts w:eastAsia="Calibri"/>
          <w:b/>
          <w:bCs/>
          <w:shd w:val="clear" w:color="auto" w:fill="FFFFFF"/>
          <w:lang w:eastAsia="en-US"/>
        </w:rPr>
        <w:t xml:space="preserve">. člen </w:t>
      </w:r>
    </w:p>
    <w:p w14:paraId="671AEF34" w14:textId="77777777" w:rsidR="00BE1E16" w:rsidRPr="00C44DC0" w:rsidRDefault="00BE1E16" w:rsidP="00C44DC0">
      <w:pPr>
        <w:jc w:val="center"/>
        <w:rPr>
          <w:rFonts w:eastAsia="Calibri"/>
          <w:lang w:eastAsia="en-US"/>
        </w:rPr>
      </w:pPr>
      <w:r w:rsidRPr="00C44DC0">
        <w:rPr>
          <w:rFonts w:eastAsia="Calibri"/>
          <w:b/>
          <w:bCs/>
          <w:shd w:val="clear" w:color="auto" w:fill="FFFFFF"/>
          <w:lang w:eastAsia="en-US"/>
        </w:rPr>
        <w:lastRenderedPageBreak/>
        <w:t xml:space="preserve">(način odmere komunalnega prispevka) </w:t>
      </w:r>
    </w:p>
    <w:p w14:paraId="0F579687" w14:textId="77777777" w:rsidR="00BE1E16" w:rsidRPr="00C44DC0" w:rsidRDefault="00BE1E16" w:rsidP="00C44DC0">
      <w:pPr>
        <w:jc w:val="center"/>
        <w:rPr>
          <w:rFonts w:eastAsia="Calibri"/>
          <w:b/>
          <w:bCs/>
          <w:shd w:val="clear" w:color="auto" w:fill="FFFFFF"/>
          <w:lang w:eastAsia="en-US"/>
        </w:rPr>
      </w:pPr>
    </w:p>
    <w:p w14:paraId="2E367D74" w14:textId="7F88A51E" w:rsidR="00BE1E16" w:rsidRPr="00C44DC0" w:rsidRDefault="00BE1E16" w:rsidP="00B61C69">
      <w:pPr>
        <w:widowControl w:val="0"/>
        <w:numPr>
          <w:ilvl w:val="0"/>
          <w:numId w:val="14"/>
        </w:numPr>
        <w:suppressAutoHyphens/>
        <w:jc w:val="both"/>
        <w:rPr>
          <w:rFonts w:eastAsia="Calibri"/>
          <w:lang w:eastAsia="en-US"/>
        </w:rPr>
      </w:pPr>
      <w:r w:rsidRPr="00C44DC0">
        <w:rPr>
          <w:rFonts w:eastAsia="Calibri"/>
          <w:lang w:eastAsia="en-US"/>
        </w:rPr>
        <w:t>Komunalni prispevek se zavezancu odmeri glede na:</w:t>
      </w:r>
    </w:p>
    <w:p w14:paraId="7B779EC2" w14:textId="77777777" w:rsidR="00BE1E16" w:rsidRPr="00C44DC0" w:rsidRDefault="00BE1E16" w:rsidP="00B61C69">
      <w:pPr>
        <w:numPr>
          <w:ilvl w:val="0"/>
          <w:numId w:val="15"/>
        </w:numPr>
        <w:tabs>
          <w:tab w:val="left" w:pos="720"/>
        </w:tabs>
        <w:suppressAutoHyphens/>
        <w:jc w:val="both"/>
        <w:rPr>
          <w:rFonts w:eastAsia="Bitstream Vera Sans"/>
        </w:rPr>
      </w:pPr>
      <w:r w:rsidRPr="00C44DC0">
        <w:rPr>
          <w:rFonts w:eastAsia="Bitstream Vera Sans"/>
        </w:rPr>
        <w:t>površino in opremljenost stavbnega zemljišča s komunalno opremo,</w:t>
      </w:r>
    </w:p>
    <w:p w14:paraId="37126D97" w14:textId="77777777" w:rsidR="00BE1E16" w:rsidRPr="00C44DC0" w:rsidRDefault="00BE1E16" w:rsidP="00B61C69">
      <w:pPr>
        <w:numPr>
          <w:ilvl w:val="0"/>
          <w:numId w:val="15"/>
        </w:numPr>
        <w:tabs>
          <w:tab w:val="left" w:pos="720"/>
        </w:tabs>
        <w:suppressAutoHyphens/>
        <w:jc w:val="both"/>
        <w:rPr>
          <w:rFonts w:eastAsia="Bitstream Vera Sans"/>
        </w:rPr>
      </w:pPr>
      <w:r w:rsidRPr="00C44DC0">
        <w:rPr>
          <w:rFonts w:eastAsia="Bitstream Vera Sans"/>
        </w:rPr>
        <w:t>bruto tlorisno površino objekta</w:t>
      </w:r>
      <w:r w:rsidR="0066177B">
        <w:rPr>
          <w:rFonts w:eastAsia="Bitstream Vera Sans"/>
        </w:rPr>
        <w:t xml:space="preserve"> ter njegovo namembnost oziroma</w:t>
      </w:r>
    </w:p>
    <w:p w14:paraId="59031019" w14:textId="77777777" w:rsidR="00BE1E16" w:rsidRPr="00C44DC0" w:rsidRDefault="00BE1E16" w:rsidP="00B61C69">
      <w:pPr>
        <w:numPr>
          <w:ilvl w:val="0"/>
          <w:numId w:val="15"/>
        </w:numPr>
        <w:tabs>
          <w:tab w:val="left" w:pos="720"/>
        </w:tabs>
        <w:suppressAutoHyphens/>
        <w:jc w:val="both"/>
        <w:rPr>
          <w:rFonts w:eastAsia="Bitstream Vera Sans"/>
        </w:rPr>
      </w:pPr>
      <w:r w:rsidRPr="00C44DC0">
        <w:rPr>
          <w:rFonts w:eastAsia="Bitstream Vera Sans"/>
        </w:rPr>
        <w:t xml:space="preserve">glede na izboljšanje opremljenosti gradbene parcele s komunalno opremo. </w:t>
      </w:r>
    </w:p>
    <w:p w14:paraId="658D6B8B" w14:textId="0C0E6161" w:rsidR="00BE1E16" w:rsidRPr="0066177B" w:rsidRDefault="001F1A0A" w:rsidP="00B61C69">
      <w:pPr>
        <w:numPr>
          <w:ilvl w:val="0"/>
          <w:numId w:val="14"/>
        </w:numPr>
        <w:contextualSpacing/>
        <w:jc w:val="both"/>
        <w:rPr>
          <w:rFonts w:eastAsia="Calibri"/>
          <w:lang w:eastAsia="en-US"/>
        </w:rPr>
      </w:pPr>
      <w:r w:rsidRPr="001F1A0A">
        <w:rPr>
          <w:rFonts w:eastAsia="Calibri"/>
          <w:lang w:eastAsia="en-US"/>
        </w:rPr>
        <w:t xml:space="preserve">Če se komunalni prispevek odmerja zaradi graditve, se komunalna oprema določi na podlagi dokumentacije za pridobitev gradbenega dovoljenja in mnenj pristojnih </w:t>
      </w:r>
      <w:proofErr w:type="spellStart"/>
      <w:r w:rsidRPr="001F1A0A">
        <w:rPr>
          <w:rFonts w:eastAsia="Calibri"/>
          <w:lang w:eastAsia="en-US"/>
        </w:rPr>
        <w:t>mnenjedajalcev</w:t>
      </w:r>
      <w:proofErr w:type="spellEnd"/>
      <w:r w:rsidRPr="001F1A0A">
        <w:rPr>
          <w:rFonts w:eastAsia="Calibri"/>
          <w:lang w:eastAsia="en-US"/>
        </w:rPr>
        <w:t xml:space="preserve"> za priključevanje na komunalno opremo.</w:t>
      </w:r>
    </w:p>
    <w:p w14:paraId="7D6392E0" w14:textId="27280318" w:rsidR="00BE1E16" w:rsidRDefault="00BE1E16" w:rsidP="00B61C69">
      <w:pPr>
        <w:numPr>
          <w:ilvl w:val="0"/>
          <w:numId w:val="14"/>
        </w:numPr>
        <w:contextualSpacing/>
        <w:jc w:val="both"/>
        <w:rPr>
          <w:rFonts w:eastAsia="Calibri"/>
          <w:lang w:eastAsia="en-US"/>
        </w:rPr>
      </w:pPr>
      <w:r w:rsidRPr="0098223A">
        <w:rPr>
          <w:rFonts w:eastAsia="Calibri"/>
          <w:lang w:eastAsia="en-US"/>
        </w:rPr>
        <w:t>Za obstoječe objekte se za izračun bruto tlorisne površine stavbe lahko uporabi podatek o neto tlorisni površini objekta iz registra nepremičnin, ki ga vodi Geodetska uprava RS, tako da se neto tlorisna površina pomnoži s faktorjem 1,2.</w:t>
      </w:r>
    </w:p>
    <w:p w14:paraId="450B8237" w14:textId="5A19A446" w:rsidR="007E4EB6" w:rsidRDefault="00BF4F81" w:rsidP="007E4EB6">
      <w:pPr>
        <w:numPr>
          <w:ilvl w:val="0"/>
          <w:numId w:val="14"/>
        </w:numPr>
        <w:contextualSpacing/>
        <w:jc w:val="both"/>
        <w:rPr>
          <w:rFonts w:eastAsia="Calibri"/>
          <w:lang w:eastAsia="en-US"/>
        </w:rPr>
      </w:pPr>
      <w:r w:rsidRPr="00BF4F81">
        <w:rPr>
          <w:rFonts w:eastAsia="Calibri"/>
          <w:lang w:eastAsia="en-US"/>
        </w:rPr>
        <w:t>Za objekte, kjer je iz projektne dokumentacije za obračun komunalnega prispevka razvidno, da gre za legalizacijo že obstoječega objekta, se komunalni prispevek izračuna po določilih, ki veljajo za vse ostale objekte oziroma novogradnjo, kjer je potrebno obračunati komunalni prispevek za namen pridobitve gradbenega dovoljenja. Pri odmeri komunalnega prispevka zaradi legalizacije v primeru izdaje dovoljenja za objekt daljšega obstoja v skladu s predpisi, ki urejajo graditev, se pri objektu, za katerega je bilo pridobljeno gradbeno dovoljenje, vendar je ta zgrajen v nasprotju z njim, upošteva že poravnan komunalni prispevek.</w:t>
      </w:r>
      <w:r w:rsidR="00A95595">
        <w:rPr>
          <w:rFonts w:eastAsia="Calibri"/>
          <w:lang w:eastAsia="en-US"/>
        </w:rPr>
        <w:t xml:space="preserve"> </w:t>
      </w:r>
      <w:r w:rsidRPr="00BF4F81">
        <w:rPr>
          <w:rFonts w:eastAsia="Calibri"/>
          <w:lang w:eastAsia="en-US"/>
        </w:rPr>
        <w:t>V tem primeru se vlogi za odmero komunalnega prispevka priložijo podatki in dokazila o morebitnih preteklih vlaganjih v komunalno opremo, že poravnanih obveznosti</w:t>
      </w:r>
      <w:r w:rsidR="003A703B">
        <w:rPr>
          <w:rFonts w:eastAsia="Calibri"/>
          <w:lang w:eastAsia="en-US"/>
        </w:rPr>
        <w:t>h</w:t>
      </w:r>
      <w:r w:rsidRPr="00BF4F81">
        <w:rPr>
          <w:rFonts w:eastAsia="Calibri"/>
          <w:lang w:eastAsia="en-US"/>
        </w:rPr>
        <w:t xml:space="preserve"> plačila komunalnega prispevka in druga dokumentacija, pomembna za odločitev o odmeri komunalnega prispevka (vsa pridobljena upravna dovoljenja in projektna dokumentacija, ki je bila podlaga za izdajo teh upravnih dovoljenj).</w:t>
      </w:r>
      <w:r w:rsidR="00D35DEC">
        <w:rPr>
          <w:rFonts w:eastAsia="Calibri"/>
          <w:lang w:eastAsia="en-US"/>
        </w:rPr>
        <w:t xml:space="preserve"> Dokazno breme je na strani zavezanca.</w:t>
      </w:r>
    </w:p>
    <w:p w14:paraId="7006A457" w14:textId="037A88A9" w:rsidR="00BE1E16" w:rsidRPr="00DD4B40" w:rsidRDefault="00BF4F81" w:rsidP="00DD4B40">
      <w:pPr>
        <w:numPr>
          <w:ilvl w:val="0"/>
          <w:numId w:val="14"/>
        </w:numPr>
        <w:contextualSpacing/>
        <w:jc w:val="both"/>
        <w:rPr>
          <w:rFonts w:eastAsia="Calibri"/>
          <w:lang w:eastAsia="en-US"/>
        </w:rPr>
      </w:pPr>
      <w:r w:rsidRPr="004100CE">
        <w:rPr>
          <w:rFonts w:eastAsia="Calibri"/>
          <w:lang w:eastAsia="en-US"/>
        </w:rPr>
        <w:t xml:space="preserve">Za obstoječe objekte, zgrajene pred 31. 12. 1967, za katere se šteje, da imajo v skladu s 197. členom Zakona o graditvi objektov (Uradni list RS, št. 102/04 – uradno prečiščeno besedilo, 14/05 – </w:t>
      </w:r>
      <w:proofErr w:type="spellStart"/>
      <w:r w:rsidRPr="004100CE">
        <w:rPr>
          <w:rFonts w:eastAsia="Calibri"/>
          <w:lang w:eastAsia="en-US"/>
        </w:rPr>
        <w:t>popr</w:t>
      </w:r>
      <w:proofErr w:type="spellEnd"/>
      <w:r w:rsidRPr="004100CE">
        <w:rPr>
          <w:rFonts w:eastAsia="Calibri"/>
          <w:lang w:eastAsia="en-US"/>
        </w:rPr>
        <w:t xml:space="preserve">., 92/05 – ZJC-B, 93/05 – ZVMS, 111/05 – </w:t>
      </w:r>
      <w:proofErr w:type="spellStart"/>
      <w:r w:rsidRPr="004100CE">
        <w:rPr>
          <w:rFonts w:eastAsia="Calibri"/>
          <w:lang w:eastAsia="en-US"/>
        </w:rPr>
        <w:t>odl</w:t>
      </w:r>
      <w:proofErr w:type="spellEnd"/>
      <w:r w:rsidRPr="004100CE">
        <w:rPr>
          <w:rFonts w:eastAsia="Calibri"/>
          <w:lang w:eastAsia="en-US"/>
        </w:rPr>
        <w:t xml:space="preserve">. US, 126/07, 108/09, 61/10 – ZRud-1, 20/11 – </w:t>
      </w:r>
      <w:proofErr w:type="spellStart"/>
      <w:r w:rsidRPr="004100CE">
        <w:rPr>
          <w:rFonts w:eastAsia="Calibri"/>
          <w:lang w:eastAsia="en-US"/>
        </w:rPr>
        <w:t>odl</w:t>
      </w:r>
      <w:proofErr w:type="spellEnd"/>
      <w:r w:rsidRPr="004100CE">
        <w:rPr>
          <w:rFonts w:eastAsia="Calibri"/>
          <w:lang w:eastAsia="en-US"/>
        </w:rPr>
        <w:t xml:space="preserve">. US, 57/12, 101/13 – </w:t>
      </w:r>
      <w:proofErr w:type="spellStart"/>
      <w:r w:rsidRPr="004100CE">
        <w:rPr>
          <w:rFonts w:eastAsia="Calibri"/>
          <w:lang w:eastAsia="en-US"/>
        </w:rPr>
        <w:t>ZdavNepr</w:t>
      </w:r>
      <w:proofErr w:type="spellEnd"/>
      <w:r w:rsidRPr="004100CE">
        <w:rPr>
          <w:rFonts w:eastAsia="Calibri"/>
          <w:lang w:eastAsia="en-US"/>
        </w:rPr>
        <w:t xml:space="preserve">, 110/13, 22/14 – </w:t>
      </w:r>
      <w:proofErr w:type="spellStart"/>
      <w:r w:rsidRPr="004100CE">
        <w:rPr>
          <w:rFonts w:eastAsia="Calibri"/>
          <w:lang w:eastAsia="en-US"/>
        </w:rPr>
        <w:t>odl</w:t>
      </w:r>
      <w:proofErr w:type="spellEnd"/>
      <w:r w:rsidRPr="004100CE">
        <w:rPr>
          <w:rFonts w:eastAsia="Calibri"/>
          <w:lang w:eastAsia="en-US"/>
        </w:rPr>
        <w:t xml:space="preserve">. US, 19/15, 61/17 – GZ in 66/17 – </w:t>
      </w:r>
      <w:proofErr w:type="spellStart"/>
      <w:r w:rsidRPr="004100CE">
        <w:rPr>
          <w:rFonts w:eastAsia="Calibri"/>
          <w:lang w:eastAsia="en-US"/>
        </w:rPr>
        <w:t>odl</w:t>
      </w:r>
      <w:proofErr w:type="spellEnd"/>
      <w:r w:rsidRPr="004100CE">
        <w:rPr>
          <w:rFonts w:eastAsia="Calibri"/>
          <w:lang w:eastAsia="en-US"/>
        </w:rPr>
        <w:t>. US) uporabno dovoljenje, se šteje,</w:t>
      </w:r>
      <w:r w:rsidRPr="004100CE">
        <w:t xml:space="preserve"> </w:t>
      </w:r>
      <w:r w:rsidRPr="004100CE">
        <w:rPr>
          <w:rFonts w:eastAsia="Calibri"/>
          <w:lang w:eastAsia="en-US"/>
        </w:rPr>
        <w:t>da imajo poravnan komunalni prispevek za komunalno opremo, na katero je objekt priključen. Kot velikost gradbene parcele, ki pripada takemu objektu, in se za površino le-te šteje, da je zanjo poravnan komunalni prispevek, se za potrebe odmere komunalnega prispevka prizna površina, ki se izračuna skladno z 8. členom tega odloka</w:t>
      </w:r>
      <w:r w:rsidR="00BE1E16" w:rsidRPr="00DD4B40">
        <w:rPr>
          <w:rFonts w:eastAsia="Calibri"/>
          <w:lang w:eastAsia="en-US"/>
        </w:rPr>
        <w:t>.</w:t>
      </w:r>
    </w:p>
    <w:p w14:paraId="49DB9F4E" w14:textId="2E6F2FBE" w:rsidR="00BE1E16" w:rsidRPr="0098223A" w:rsidRDefault="00BE1E16" w:rsidP="00B61C69">
      <w:pPr>
        <w:numPr>
          <w:ilvl w:val="0"/>
          <w:numId w:val="14"/>
        </w:numPr>
        <w:contextualSpacing/>
        <w:jc w:val="both"/>
        <w:rPr>
          <w:rFonts w:eastAsia="Calibri"/>
          <w:lang w:eastAsia="en-US"/>
        </w:rPr>
      </w:pPr>
      <w:r w:rsidRPr="0098223A">
        <w:rPr>
          <w:rFonts w:eastAsia="Calibri"/>
          <w:lang w:eastAsia="en-US"/>
        </w:rPr>
        <w:t>V izračunu višine komunalnega prispevka se upošteva opremljenost z obstoječo komunalno opremo. Če na območju ni mogoče priključiti objekta na katerega od omrežij komunalne opreme, se strošek te vrste komunalne opreme v izračunu komunalnega prispevka ne upošteva.</w:t>
      </w:r>
      <w:r w:rsidR="00D35DEC">
        <w:rPr>
          <w:rFonts w:eastAsia="Calibri"/>
          <w:lang w:eastAsia="en-US"/>
        </w:rPr>
        <w:t xml:space="preserve"> Komunalni prispevek se odmeri le na območju stavbnih zemljišč.</w:t>
      </w:r>
    </w:p>
    <w:p w14:paraId="097B5D5D" w14:textId="77777777" w:rsidR="00BE1E16" w:rsidRPr="0098223A" w:rsidRDefault="00BE1E16" w:rsidP="00B61C69">
      <w:pPr>
        <w:numPr>
          <w:ilvl w:val="0"/>
          <w:numId w:val="14"/>
        </w:numPr>
        <w:contextualSpacing/>
        <w:jc w:val="both"/>
        <w:rPr>
          <w:rFonts w:eastAsia="Calibri"/>
          <w:lang w:eastAsia="en-US"/>
        </w:rPr>
      </w:pPr>
      <w:r w:rsidRPr="0098223A">
        <w:rPr>
          <w:rFonts w:eastAsia="Calibri"/>
          <w:lang w:eastAsia="en-US"/>
        </w:rPr>
        <w:t>Če se nova komunalna oprema iz programa opremljanja, na katero se priključuje objekt, posredno ali neposredno priključuje na obstoječo komunalno opremo oziroma bremeni že zgrajeno komunalno opremo, se pripadajoči del komunalnega prispevka za obstoječo komunalno opremo določi na naslednji način:</w:t>
      </w:r>
    </w:p>
    <w:p w14:paraId="5CB96D15" w14:textId="77777777" w:rsidR="00BE1E16" w:rsidRPr="0098223A" w:rsidRDefault="00BE1E16" w:rsidP="00B61C69">
      <w:pPr>
        <w:numPr>
          <w:ilvl w:val="1"/>
          <w:numId w:val="14"/>
        </w:numPr>
        <w:ind w:left="709"/>
        <w:contextualSpacing/>
        <w:jc w:val="both"/>
        <w:rPr>
          <w:rFonts w:eastAsia="Calibri"/>
          <w:lang w:eastAsia="en-US"/>
        </w:rPr>
      </w:pPr>
      <w:r w:rsidRPr="0098223A">
        <w:rPr>
          <w:rFonts w:eastAsia="Calibri"/>
          <w:lang w:eastAsia="en-US"/>
        </w:rPr>
        <w:t>če je izračunani komunalni prispevek za posamezno vrsto nove komunalne opreme višji od izračunanega komunalnega prispevka za posamezno vrsto obstoječe komunalne opreme (</w:t>
      </w:r>
      <w:proofErr w:type="spellStart"/>
      <w:r w:rsidRPr="0098223A">
        <w:rPr>
          <w:rFonts w:eastAsia="Calibri"/>
          <w:lang w:eastAsia="en-US"/>
        </w:rPr>
        <w:t>KP</w:t>
      </w:r>
      <w:r w:rsidRPr="0098223A">
        <w:rPr>
          <w:rFonts w:eastAsia="Calibri"/>
          <w:vertAlign w:val="subscript"/>
          <w:lang w:eastAsia="en-US"/>
        </w:rPr>
        <w:t>nova</w:t>
      </w:r>
      <w:proofErr w:type="spellEnd"/>
      <w:r w:rsidRPr="0098223A">
        <w:rPr>
          <w:rFonts w:eastAsia="Calibri"/>
          <w:lang w:eastAsia="en-US"/>
        </w:rPr>
        <w:t>(i)</w:t>
      </w:r>
      <w:r w:rsidRPr="0098223A">
        <w:rPr>
          <w:rFonts w:eastAsia="Calibri"/>
          <w:vertAlign w:val="subscript"/>
          <w:lang w:eastAsia="en-US"/>
        </w:rPr>
        <w:t xml:space="preserve"> </w:t>
      </w:r>
      <w:r w:rsidRPr="0098223A">
        <w:rPr>
          <w:rFonts w:eastAsia="Calibri"/>
          <w:lang w:eastAsia="en-US"/>
        </w:rPr>
        <w:t xml:space="preserve">– </w:t>
      </w: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(i) ≥ 0), je vrednost pripadajočega dela komunalnega prispevka za obstoječo komunalno opremo 0;</w:t>
      </w:r>
    </w:p>
    <w:p w14:paraId="509AB697" w14:textId="6129BBCF" w:rsidR="00BE1E16" w:rsidRDefault="00BE1E16" w:rsidP="00B61C69">
      <w:pPr>
        <w:numPr>
          <w:ilvl w:val="1"/>
          <w:numId w:val="14"/>
        </w:numPr>
        <w:ind w:left="709"/>
        <w:contextualSpacing/>
        <w:jc w:val="both"/>
        <w:rPr>
          <w:rFonts w:eastAsia="Calibri"/>
          <w:lang w:eastAsia="en-US"/>
        </w:rPr>
      </w:pPr>
      <w:r w:rsidRPr="0098223A">
        <w:rPr>
          <w:rFonts w:eastAsia="Calibri"/>
          <w:lang w:eastAsia="en-US"/>
        </w:rPr>
        <w:t>če je izračunani komunalni prispevek za posamezno vrsto nove komunalne opreme manjši od izračunanega komunalnega prispevka za posamezno vrsto obstoječe komunalne opreme (</w:t>
      </w:r>
      <w:proofErr w:type="spellStart"/>
      <w:r w:rsidRPr="0098223A">
        <w:rPr>
          <w:rFonts w:eastAsia="Calibri"/>
          <w:lang w:eastAsia="en-US"/>
        </w:rPr>
        <w:t>KP</w:t>
      </w:r>
      <w:r w:rsidRPr="0098223A">
        <w:rPr>
          <w:rFonts w:eastAsia="Calibri"/>
          <w:vertAlign w:val="subscript"/>
          <w:lang w:eastAsia="en-US"/>
        </w:rPr>
        <w:t>nova</w:t>
      </w:r>
      <w:proofErr w:type="spellEnd"/>
      <w:r w:rsidRPr="0098223A">
        <w:rPr>
          <w:rFonts w:eastAsia="Calibri"/>
          <w:lang w:eastAsia="en-US"/>
        </w:rPr>
        <w:t xml:space="preserve">(i) – </w:t>
      </w: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 xml:space="preserve">(i) ≤ 0), se pripadajoči del komunalnega prispevka za posamezno vrsto obstoječe komunalne opreme določi po enačbi: </w:t>
      </w: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 xml:space="preserve">(i) – </w:t>
      </w:r>
      <w:proofErr w:type="spellStart"/>
      <w:r w:rsidRPr="0098223A">
        <w:rPr>
          <w:rFonts w:eastAsia="Calibri"/>
          <w:lang w:eastAsia="en-US"/>
        </w:rPr>
        <w:t>KP</w:t>
      </w:r>
      <w:r w:rsidRPr="0098223A">
        <w:rPr>
          <w:rFonts w:eastAsia="Calibri"/>
          <w:vertAlign w:val="subscript"/>
          <w:lang w:eastAsia="en-US"/>
        </w:rPr>
        <w:t>nova</w:t>
      </w:r>
      <w:proofErr w:type="spellEnd"/>
      <w:r w:rsidRPr="0098223A">
        <w:rPr>
          <w:rFonts w:eastAsia="Calibri"/>
          <w:lang w:eastAsia="en-US"/>
        </w:rPr>
        <w:t>(i).</w:t>
      </w:r>
    </w:p>
    <w:p w14:paraId="1916D23D" w14:textId="2D95FD22" w:rsidR="00AC42EA" w:rsidRDefault="00AC42EA" w:rsidP="00AC42EA">
      <w:pPr>
        <w:numPr>
          <w:ilvl w:val="0"/>
          <w:numId w:val="14"/>
        </w:numPr>
        <w:contextualSpacing/>
        <w:jc w:val="both"/>
        <w:rPr>
          <w:rFonts w:eastAsia="Calibri"/>
          <w:lang w:eastAsia="en-US"/>
        </w:rPr>
      </w:pPr>
      <w:r w:rsidRPr="004100CE">
        <w:rPr>
          <w:rFonts w:eastAsia="Calibri"/>
          <w:lang w:eastAsia="en-US"/>
        </w:rPr>
        <w:t xml:space="preserve">Če se komunalni prispevek za obstoječo komunalno opremo odmerja zaradi gradnje objekta, ki se posredno priključuje na obstoječo komunalno opremo prek nove komunalne </w:t>
      </w:r>
      <w:r w:rsidRPr="004100CE">
        <w:rPr>
          <w:rFonts w:eastAsia="Calibri"/>
          <w:lang w:eastAsia="en-US"/>
        </w:rPr>
        <w:lastRenderedPageBreak/>
        <w:t>opreme iz programa opremljanja</w:t>
      </w:r>
      <w:r w:rsidR="00DD4B40">
        <w:rPr>
          <w:rFonts w:eastAsia="Calibri"/>
          <w:lang w:eastAsia="en-US"/>
        </w:rPr>
        <w:t xml:space="preserve"> stavbnih zemljišč</w:t>
      </w:r>
      <w:r w:rsidRPr="004100CE">
        <w:rPr>
          <w:rFonts w:eastAsia="Calibri"/>
          <w:lang w:eastAsia="en-US"/>
        </w:rPr>
        <w:t xml:space="preserve">, se izda ena </w:t>
      </w:r>
      <w:proofErr w:type="spellStart"/>
      <w:r w:rsidRPr="004100CE">
        <w:rPr>
          <w:rFonts w:eastAsia="Calibri"/>
          <w:lang w:eastAsia="en-US"/>
        </w:rPr>
        <w:t>odmerna</w:t>
      </w:r>
      <w:proofErr w:type="spellEnd"/>
      <w:r w:rsidRPr="004100CE">
        <w:rPr>
          <w:rFonts w:eastAsia="Calibri"/>
          <w:lang w:eastAsia="en-US"/>
        </w:rPr>
        <w:t xml:space="preserve"> odločba, s katero se odmeri komunalni prispevek za obstoječo in novo komunalno opremo.</w:t>
      </w:r>
    </w:p>
    <w:p w14:paraId="6E1CBF3D" w14:textId="6E50F750" w:rsidR="00D73360" w:rsidRPr="0098223A" w:rsidRDefault="0010575C" w:rsidP="00AC42EA">
      <w:pPr>
        <w:numPr>
          <w:ilvl w:val="0"/>
          <w:numId w:val="14"/>
        </w:numPr>
        <w:contextualSpacing/>
        <w:jc w:val="both"/>
        <w:rPr>
          <w:rFonts w:eastAsia="Calibri"/>
          <w:lang w:eastAsia="en-US"/>
        </w:rPr>
      </w:pPr>
      <w:r w:rsidRPr="0010575C">
        <w:rPr>
          <w:rFonts w:eastAsia="Calibri"/>
          <w:lang w:eastAsia="en-US"/>
        </w:rPr>
        <w:t>Komunalni prispevek je namenski prihodek občinskega proračuna, namenjen financiranju gradnje komunalne opreme</w:t>
      </w:r>
      <w:r>
        <w:rPr>
          <w:rFonts w:eastAsia="Calibri"/>
          <w:lang w:eastAsia="en-US"/>
        </w:rPr>
        <w:t>.</w:t>
      </w:r>
    </w:p>
    <w:p w14:paraId="5A5B9146" w14:textId="77777777" w:rsidR="000059DA" w:rsidRPr="0098223A" w:rsidRDefault="000059DA" w:rsidP="00C44DC0">
      <w:pPr>
        <w:rPr>
          <w:rFonts w:eastAsia="Calibri"/>
          <w:lang w:eastAsia="en-US"/>
        </w:rPr>
      </w:pPr>
    </w:p>
    <w:p w14:paraId="05E12325" w14:textId="66075238"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1</w:t>
      </w:r>
      <w:r w:rsidR="00B114C1">
        <w:rPr>
          <w:rFonts w:eastAsia="Calibri"/>
          <w:b/>
          <w:bCs/>
          <w:shd w:val="clear" w:color="auto" w:fill="FFFFFF"/>
          <w:lang w:eastAsia="en-US"/>
        </w:rPr>
        <w:t>1</w:t>
      </w:r>
      <w:r w:rsidRPr="0098223A">
        <w:rPr>
          <w:rFonts w:eastAsia="Calibri"/>
          <w:b/>
          <w:bCs/>
          <w:shd w:val="clear" w:color="auto" w:fill="FFFFFF"/>
          <w:lang w:eastAsia="en-US"/>
        </w:rPr>
        <w:t xml:space="preserve">. člen </w:t>
      </w:r>
    </w:p>
    <w:p w14:paraId="290DE775" w14:textId="77777777"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 xml:space="preserve">(izračun komunalnega prispevka) </w:t>
      </w:r>
    </w:p>
    <w:p w14:paraId="15754301" w14:textId="77777777" w:rsidR="00BE1E16" w:rsidRPr="0098223A" w:rsidRDefault="00BE1E16" w:rsidP="00C44DC0">
      <w:pPr>
        <w:rPr>
          <w:rFonts w:eastAsia="Calibri"/>
          <w:lang w:eastAsia="en-US"/>
        </w:rPr>
      </w:pPr>
    </w:p>
    <w:p w14:paraId="4E984C7D" w14:textId="2E810F6E" w:rsidR="00BE1E16" w:rsidRPr="0098223A" w:rsidRDefault="00C1100C" w:rsidP="00B61C69">
      <w:pPr>
        <w:numPr>
          <w:ilvl w:val="0"/>
          <w:numId w:val="13"/>
        </w:numPr>
        <w:contextualSpacing/>
        <w:jc w:val="both"/>
        <w:rPr>
          <w:rFonts w:eastAsia="Calibri"/>
          <w:lang w:eastAsia="en-US"/>
        </w:rPr>
      </w:pPr>
      <w:r w:rsidRPr="0098223A">
        <w:rPr>
          <w:rFonts w:eastAsia="Calibri"/>
          <w:lang w:eastAsia="en-US"/>
        </w:rPr>
        <w:t>Komunalni prispevek za posamezno vrsto obstoječe komunalne opreme</w:t>
      </w:r>
      <w:r w:rsidR="00BE1E16" w:rsidRPr="0098223A">
        <w:rPr>
          <w:rFonts w:eastAsia="Calibri"/>
          <w:lang w:eastAsia="en-US"/>
        </w:rPr>
        <w:t xml:space="preserve"> se </w:t>
      </w:r>
      <w:r w:rsidR="00305DCE" w:rsidRPr="0098223A">
        <w:rPr>
          <w:rFonts w:eastAsia="Calibri"/>
          <w:lang w:eastAsia="en-US"/>
        </w:rPr>
        <w:t xml:space="preserve">za </w:t>
      </w:r>
      <w:r w:rsidR="007C3AC8">
        <w:rPr>
          <w:rFonts w:eastAsia="Calibri"/>
          <w:lang w:eastAsia="en-US"/>
        </w:rPr>
        <w:t>objekte</w:t>
      </w:r>
      <w:r w:rsidR="00305DCE" w:rsidRPr="0098223A">
        <w:rPr>
          <w:rFonts w:eastAsia="Calibri"/>
          <w:lang w:eastAsia="en-US"/>
        </w:rPr>
        <w:t xml:space="preserve"> izračuna </w:t>
      </w:r>
      <w:r w:rsidRPr="0098223A">
        <w:rPr>
          <w:rFonts w:eastAsia="Calibri"/>
          <w:lang w:eastAsia="en-US"/>
        </w:rPr>
        <w:t>po naslednji enačbi:</w:t>
      </w:r>
    </w:p>
    <w:p w14:paraId="43BB2A0E" w14:textId="77777777" w:rsidR="00822E63" w:rsidRPr="0098223A" w:rsidRDefault="00822E63" w:rsidP="00822E63">
      <w:pPr>
        <w:ind w:left="720"/>
        <w:contextualSpacing/>
        <w:jc w:val="both"/>
        <w:rPr>
          <w:rFonts w:eastAsia="Calibri"/>
          <w:lang w:eastAsia="en-US"/>
        </w:rPr>
      </w:pPr>
    </w:p>
    <w:p w14:paraId="7E494255" w14:textId="77777777" w:rsidR="00BE1E16" w:rsidRPr="0098223A" w:rsidRDefault="00BE1E16" w:rsidP="00C44DC0">
      <w:pPr>
        <w:jc w:val="center"/>
        <w:rPr>
          <w:rFonts w:eastAsia="Calibri"/>
          <w:lang w:eastAsia="en-US"/>
        </w:rPr>
      </w:pP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 xml:space="preserve">(i) </w:t>
      </w:r>
      <w:r w:rsidRPr="0098223A">
        <w:rPr>
          <w:rFonts w:eastAsia="Calibri"/>
          <w:shd w:val="clear" w:color="auto" w:fill="FFFFFF"/>
          <w:lang w:eastAsia="en-US"/>
        </w:rPr>
        <w:t>= ((A</w:t>
      </w:r>
      <w:r w:rsidRPr="0098223A">
        <w:rPr>
          <w:rFonts w:eastAsia="Calibri"/>
          <w:shd w:val="clear" w:color="auto" w:fill="FFFFFF"/>
          <w:vertAlign w:val="subscript"/>
          <w:lang w:eastAsia="en-US"/>
        </w:rPr>
        <w:t>GP</w:t>
      </w:r>
      <w:r w:rsidRPr="0098223A">
        <w:rPr>
          <w:rFonts w:eastAsia="Calibri"/>
          <w:shd w:val="clear" w:color="auto" w:fill="FFFFFF"/>
          <w:lang w:eastAsia="en-US"/>
        </w:rPr>
        <w:t xml:space="preserve"> x </w:t>
      </w:r>
      <w:proofErr w:type="spellStart"/>
      <w:r w:rsidRPr="0098223A">
        <w:rPr>
          <w:rFonts w:eastAsia="Calibri"/>
          <w:shd w:val="clear" w:color="auto" w:fill="FFFFFF"/>
          <w:lang w:eastAsia="en-US"/>
        </w:rPr>
        <w:t>Cp</w:t>
      </w:r>
      <w:r w:rsidRPr="0098223A">
        <w:rPr>
          <w:rFonts w:eastAsia="Calibri"/>
          <w:shd w:val="clear" w:color="auto" w:fill="FFFFFF"/>
          <w:vertAlign w:val="subscript"/>
          <w:lang w:eastAsia="en-US"/>
        </w:rPr>
        <w:t>o</w:t>
      </w:r>
      <w:proofErr w:type="spellEnd"/>
      <w:r w:rsidRPr="0098223A">
        <w:rPr>
          <w:rFonts w:eastAsia="Calibri"/>
          <w:shd w:val="clear" w:color="auto" w:fill="FFFFFF"/>
          <w:lang w:eastAsia="en-US"/>
        </w:rPr>
        <w:t xml:space="preserve">(i) x </w:t>
      </w:r>
      <w:proofErr w:type="spellStart"/>
      <w:r w:rsidRPr="0098223A">
        <w:rPr>
          <w:rFonts w:eastAsia="Calibri"/>
          <w:shd w:val="clear" w:color="auto" w:fill="FFFFFF"/>
          <w:lang w:eastAsia="en-US"/>
        </w:rPr>
        <w:t>Dp</w:t>
      </w:r>
      <w:r w:rsidRPr="0098223A">
        <w:rPr>
          <w:rFonts w:eastAsia="Calibri"/>
          <w:shd w:val="clear" w:color="auto" w:fill="FFFFFF"/>
          <w:vertAlign w:val="subscript"/>
          <w:lang w:eastAsia="en-US"/>
        </w:rPr>
        <w:t>o</w:t>
      </w:r>
      <w:proofErr w:type="spellEnd"/>
      <w:r w:rsidRPr="0098223A">
        <w:rPr>
          <w:rFonts w:eastAsia="Calibri"/>
          <w:shd w:val="clear" w:color="auto" w:fill="FFFFFF"/>
          <w:lang w:eastAsia="en-US"/>
        </w:rPr>
        <w:t>) +</w:t>
      </w:r>
      <w:r w:rsidRPr="0098223A">
        <w:rPr>
          <w:rFonts w:eastAsia="Calibri"/>
          <w:lang w:eastAsia="en-US"/>
        </w:rPr>
        <w:t xml:space="preserve"> (A</w:t>
      </w:r>
      <w:r w:rsidRPr="0098223A">
        <w:rPr>
          <w:rFonts w:eastAsia="Calibri"/>
          <w:vertAlign w:val="subscript"/>
          <w:lang w:eastAsia="en-US"/>
        </w:rPr>
        <w:t xml:space="preserve">STAVBA </w:t>
      </w:r>
      <w:r w:rsidRPr="0098223A">
        <w:rPr>
          <w:rFonts w:eastAsia="Calibri"/>
          <w:lang w:eastAsia="en-US"/>
        </w:rPr>
        <w:t xml:space="preserve">x </w:t>
      </w:r>
      <w:proofErr w:type="spellStart"/>
      <w:r w:rsidRPr="0098223A">
        <w:rPr>
          <w:rFonts w:eastAsia="Calibri"/>
          <w:shd w:val="clear" w:color="auto" w:fill="FFFFFF"/>
          <w:lang w:eastAsia="en-US"/>
        </w:rPr>
        <w:t>Ct</w:t>
      </w:r>
      <w:r w:rsidRPr="0098223A">
        <w:rPr>
          <w:rFonts w:eastAsia="Calibri"/>
          <w:shd w:val="clear" w:color="auto" w:fill="FFFFFF"/>
          <w:vertAlign w:val="subscript"/>
          <w:lang w:eastAsia="en-US"/>
        </w:rPr>
        <w:t>o</w:t>
      </w:r>
      <w:proofErr w:type="spellEnd"/>
      <w:r w:rsidRPr="0098223A">
        <w:rPr>
          <w:rFonts w:eastAsia="Calibri"/>
          <w:shd w:val="clear" w:color="auto" w:fill="FFFFFF"/>
          <w:lang w:eastAsia="en-US"/>
        </w:rPr>
        <w:t xml:space="preserve">(i) </w:t>
      </w:r>
      <w:r w:rsidRPr="0098223A">
        <w:rPr>
          <w:rFonts w:eastAsia="Calibri"/>
          <w:lang w:eastAsia="en-US"/>
        </w:rPr>
        <w:t>x</w:t>
      </w:r>
      <w:r w:rsidRPr="0098223A">
        <w:rPr>
          <w:rFonts w:eastAsia="Calibri"/>
          <w:shd w:val="clear" w:color="auto" w:fill="FFFFFF"/>
          <w:lang w:eastAsia="en-US"/>
        </w:rPr>
        <w:t xml:space="preserve"> </w:t>
      </w:r>
      <w:proofErr w:type="spellStart"/>
      <w:r w:rsidRPr="0098223A">
        <w:rPr>
          <w:rFonts w:eastAsia="Calibri"/>
          <w:shd w:val="clear" w:color="auto" w:fill="FFFFFF"/>
          <w:lang w:eastAsia="en-US"/>
        </w:rPr>
        <w:t>Dt</w:t>
      </w:r>
      <w:r w:rsidRPr="0098223A">
        <w:rPr>
          <w:rFonts w:eastAsia="Calibri"/>
          <w:shd w:val="clear" w:color="auto" w:fill="FFFFFF"/>
          <w:vertAlign w:val="subscript"/>
          <w:lang w:eastAsia="en-US"/>
        </w:rPr>
        <w:t>o</w:t>
      </w:r>
      <w:proofErr w:type="spellEnd"/>
      <w:r w:rsidRPr="0098223A">
        <w:rPr>
          <w:rFonts w:eastAsia="Calibri"/>
          <w:shd w:val="clear" w:color="auto" w:fill="FFFFFF"/>
          <w:lang w:eastAsia="en-US"/>
        </w:rPr>
        <w:t xml:space="preserve"> x </w:t>
      </w:r>
      <w:proofErr w:type="spellStart"/>
      <w:r w:rsidRPr="0098223A">
        <w:rPr>
          <w:rFonts w:eastAsia="Calibri"/>
          <w:shd w:val="clear" w:color="auto" w:fill="FFFFFF"/>
          <w:lang w:eastAsia="en-US"/>
        </w:rPr>
        <w:t>F</w:t>
      </w:r>
      <w:r w:rsidRPr="0098223A">
        <w:rPr>
          <w:rFonts w:eastAsia="Calibri"/>
          <w:shd w:val="clear" w:color="auto" w:fill="FFFFFF"/>
          <w:vertAlign w:val="subscript"/>
          <w:lang w:eastAsia="en-US"/>
        </w:rPr>
        <w:t>n</w:t>
      </w:r>
      <w:proofErr w:type="spellEnd"/>
      <w:r w:rsidRPr="0098223A">
        <w:rPr>
          <w:rFonts w:eastAsia="Calibri"/>
          <w:shd w:val="clear" w:color="auto" w:fill="FFFFFF"/>
          <w:vertAlign w:val="subscript"/>
          <w:lang w:eastAsia="en-US"/>
        </w:rPr>
        <w:t xml:space="preserve"> </w:t>
      </w:r>
      <w:r w:rsidRPr="0098223A">
        <w:rPr>
          <w:rFonts w:eastAsia="Calibri"/>
          <w:shd w:val="clear" w:color="auto" w:fill="FFFFFF"/>
          <w:lang w:eastAsia="en-US"/>
        </w:rPr>
        <w:t>))</w:t>
      </w:r>
      <w:r w:rsidRPr="0098223A">
        <w:rPr>
          <w:rFonts w:eastAsia="Calibri"/>
          <w:shd w:val="clear" w:color="auto" w:fill="FFFFFF"/>
          <w:vertAlign w:val="subscript"/>
          <w:lang w:eastAsia="en-US"/>
        </w:rPr>
        <w:t xml:space="preserve"> </w:t>
      </w:r>
      <w:r w:rsidRPr="0098223A">
        <w:rPr>
          <w:rFonts w:eastAsia="Calibri"/>
          <w:shd w:val="clear" w:color="auto" w:fill="FFFFFF"/>
          <w:lang w:eastAsia="en-US"/>
        </w:rPr>
        <w:t>x</w:t>
      </w:r>
      <w:r w:rsidRPr="0098223A">
        <w:rPr>
          <w:rFonts w:eastAsia="Calibri"/>
          <w:lang w:eastAsia="en-US"/>
        </w:rPr>
        <w:t xml:space="preserve"> </w:t>
      </w:r>
      <w:proofErr w:type="spellStart"/>
      <w:r w:rsidRPr="0098223A">
        <w:rPr>
          <w:rFonts w:eastAsia="Calibri"/>
          <w:lang w:eastAsia="en-US"/>
        </w:rPr>
        <w:t>p</w:t>
      </w:r>
      <w:r w:rsidRPr="0098223A">
        <w:rPr>
          <w:rFonts w:eastAsia="Calibri"/>
          <w:vertAlign w:val="subscript"/>
          <w:lang w:eastAsia="en-US"/>
        </w:rPr>
        <w:t>sz</w:t>
      </w:r>
      <w:proofErr w:type="spellEnd"/>
      <w:r w:rsidRPr="0098223A">
        <w:rPr>
          <w:rFonts w:eastAsia="Calibri"/>
          <w:lang w:eastAsia="en-US"/>
        </w:rPr>
        <w:t>(i)</w:t>
      </w:r>
    </w:p>
    <w:p w14:paraId="5B82C29E" w14:textId="77777777" w:rsidR="002E653D" w:rsidRPr="0098223A" w:rsidRDefault="002E653D" w:rsidP="00C44DC0">
      <w:pPr>
        <w:jc w:val="center"/>
        <w:rPr>
          <w:rFonts w:eastAsia="Calibri"/>
          <w:lang w:eastAsia="en-US"/>
        </w:rPr>
      </w:pPr>
    </w:p>
    <w:p w14:paraId="42711E76" w14:textId="77777777" w:rsidR="00BE1E16" w:rsidRPr="0098223A" w:rsidRDefault="00BE1E16" w:rsidP="00C44DC0">
      <w:pPr>
        <w:suppressAutoHyphens/>
        <w:jc w:val="both"/>
        <w:rPr>
          <w:rFonts w:eastAsia="Arial Unicode MS"/>
        </w:rPr>
      </w:pPr>
      <w:r w:rsidRPr="0098223A">
        <w:rPr>
          <w:rFonts w:eastAsia="Arial Unicode MS"/>
        </w:rPr>
        <w:t>Zgornje oznake pomenijo:</w:t>
      </w:r>
    </w:p>
    <w:p w14:paraId="08AA6066" w14:textId="77777777" w:rsidR="00BE1E16" w:rsidRPr="0098223A" w:rsidRDefault="00BE1E16" w:rsidP="00C44DC0">
      <w:pPr>
        <w:suppressAutoHyphens/>
        <w:jc w:val="both"/>
        <w:rPr>
          <w:rFonts w:eastAsia="Arial Unicode MS"/>
        </w:rPr>
      </w:pPr>
    </w:p>
    <w:tbl>
      <w:tblPr>
        <w:tblW w:w="0" w:type="auto"/>
        <w:tblCellSpacing w:w="20" w:type="dxa"/>
        <w:tblLayout w:type="fixed"/>
        <w:tblCellMar>
          <w:left w:w="70" w:type="dxa"/>
          <w:right w:w="70" w:type="dxa"/>
        </w:tblCellMar>
        <w:tblLook w:val="0000" w:firstRow="0" w:lastRow="0" w:firstColumn="0" w:lastColumn="0" w:noHBand="0" w:noVBand="0"/>
      </w:tblPr>
      <w:tblGrid>
        <w:gridCol w:w="1413"/>
        <w:gridCol w:w="7659"/>
      </w:tblGrid>
      <w:tr w:rsidR="00BE1E16" w:rsidRPr="0098223A" w14:paraId="6D3DF668" w14:textId="77777777" w:rsidTr="00BE1E16">
        <w:trPr>
          <w:tblCellSpacing w:w="20" w:type="dxa"/>
        </w:trPr>
        <w:tc>
          <w:tcPr>
            <w:tcW w:w="1353" w:type="dxa"/>
          </w:tcPr>
          <w:p w14:paraId="0B40E021" w14:textId="77777777" w:rsidR="00BE1E16" w:rsidRPr="0098223A" w:rsidRDefault="00BE1E16" w:rsidP="00C44DC0">
            <w:pPr>
              <w:suppressAutoHyphens/>
              <w:snapToGrid w:val="0"/>
              <w:jc w:val="both"/>
              <w:rPr>
                <w:rFonts w:eastAsia="Arial Unicode MS"/>
              </w:rPr>
            </w:pPr>
            <w:proofErr w:type="spellStart"/>
            <w:r w:rsidRPr="0098223A">
              <w:rPr>
                <w:rFonts w:eastAsia="Arial Unicode MS"/>
              </w:rPr>
              <w:t>KP</w:t>
            </w:r>
            <w:r w:rsidRPr="0098223A">
              <w:rPr>
                <w:rFonts w:eastAsia="Bitstream Vera Sans"/>
                <w:vertAlign w:val="subscript"/>
              </w:rPr>
              <w:t>obstoječa</w:t>
            </w:r>
            <w:proofErr w:type="spellEnd"/>
          </w:p>
        </w:tc>
        <w:tc>
          <w:tcPr>
            <w:tcW w:w="7599" w:type="dxa"/>
          </w:tcPr>
          <w:p w14:paraId="52E318DF" w14:textId="77777777" w:rsidR="00BE1E16" w:rsidRPr="0098223A" w:rsidRDefault="00BE1E16" w:rsidP="00C44DC0">
            <w:pPr>
              <w:suppressAutoHyphens/>
              <w:snapToGrid w:val="0"/>
              <w:jc w:val="both"/>
              <w:rPr>
                <w:rFonts w:eastAsia="Arial Unicode MS"/>
              </w:rPr>
            </w:pPr>
            <w:r w:rsidRPr="0098223A">
              <w:rPr>
                <w:rFonts w:eastAsia="Bitstream Vera Sans"/>
              </w:rPr>
              <w:t>znesek dela komunalnega prispevka za posamezno vrsto obstoječe komunalne opreme,</w:t>
            </w:r>
          </w:p>
        </w:tc>
      </w:tr>
      <w:tr w:rsidR="00BE1E16" w:rsidRPr="0098223A" w14:paraId="69F88A7E" w14:textId="77777777" w:rsidTr="00BE1E16">
        <w:trPr>
          <w:tblCellSpacing w:w="20" w:type="dxa"/>
        </w:trPr>
        <w:tc>
          <w:tcPr>
            <w:tcW w:w="1353" w:type="dxa"/>
          </w:tcPr>
          <w:p w14:paraId="7D22D3FC" w14:textId="77777777" w:rsidR="00BE1E16" w:rsidRPr="0098223A" w:rsidRDefault="00BE1E16" w:rsidP="00C44DC0">
            <w:pPr>
              <w:suppressAutoHyphens/>
              <w:snapToGrid w:val="0"/>
              <w:jc w:val="both"/>
              <w:rPr>
                <w:rFonts w:eastAsia="Arial Unicode MS"/>
              </w:rPr>
            </w:pPr>
            <w:r w:rsidRPr="0098223A">
              <w:rPr>
                <w:rFonts w:eastAsia="Arial Unicode MS"/>
              </w:rPr>
              <w:t>A</w:t>
            </w:r>
            <w:r w:rsidRPr="0098223A">
              <w:rPr>
                <w:rFonts w:eastAsia="Arial Unicode MS"/>
                <w:vertAlign w:val="subscript"/>
              </w:rPr>
              <w:t>GP</w:t>
            </w:r>
          </w:p>
        </w:tc>
        <w:tc>
          <w:tcPr>
            <w:tcW w:w="7599" w:type="dxa"/>
          </w:tcPr>
          <w:p w14:paraId="3C2B7371" w14:textId="77777777" w:rsidR="00BE1E16" w:rsidRPr="0098223A" w:rsidRDefault="00BE1E16" w:rsidP="00C44DC0">
            <w:pPr>
              <w:suppressAutoHyphens/>
              <w:snapToGrid w:val="0"/>
              <w:jc w:val="both"/>
              <w:rPr>
                <w:rFonts w:eastAsia="Arial Unicode MS"/>
              </w:rPr>
            </w:pPr>
            <w:r w:rsidRPr="0098223A">
              <w:rPr>
                <w:rFonts w:eastAsia="Arial Unicode MS"/>
                <w:bCs/>
              </w:rPr>
              <w:t xml:space="preserve">površina gradbene parcele stavbe </w:t>
            </w:r>
            <w:r w:rsidRPr="0098223A">
              <w:rPr>
                <w:rFonts w:eastAsia="Bitstream Vera Sans"/>
              </w:rPr>
              <w:t>(m</w:t>
            </w:r>
            <w:r w:rsidRPr="0098223A">
              <w:rPr>
                <w:rFonts w:eastAsia="Bitstream Vera Sans"/>
                <w:vertAlign w:val="superscript"/>
              </w:rPr>
              <w:t>2</w:t>
            </w:r>
            <w:r w:rsidRPr="0098223A">
              <w:rPr>
                <w:rFonts w:eastAsia="Bitstream Vera Sans"/>
              </w:rPr>
              <w:t xml:space="preserve">), </w:t>
            </w:r>
          </w:p>
        </w:tc>
      </w:tr>
      <w:tr w:rsidR="00BE1E16" w:rsidRPr="0098223A" w14:paraId="73E79C87" w14:textId="77777777" w:rsidTr="00BE1E16">
        <w:trPr>
          <w:tblCellSpacing w:w="20" w:type="dxa"/>
        </w:trPr>
        <w:tc>
          <w:tcPr>
            <w:tcW w:w="1353" w:type="dxa"/>
          </w:tcPr>
          <w:p w14:paraId="7EE5F8CF" w14:textId="77777777" w:rsidR="00BE1E16" w:rsidRPr="0098223A" w:rsidRDefault="00BE1E16" w:rsidP="00C44DC0">
            <w:pPr>
              <w:suppressAutoHyphens/>
              <w:snapToGrid w:val="0"/>
              <w:jc w:val="both"/>
              <w:rPr>
                <w:rFonts w:eastAsia="Arial Unicode MS"/>
              </w:rPr>
            </w:pPr>
            <w:proofErr w:type="spellStart"/>
            <w:r w:rsidRPr="0098223A">
              <w:rPr>
                <w:rFonts w:eastAsia="Bitstream Vera Sans"/>
                <w:shd w:val="clear" w:color="auto" w:fill="FFFFFF"/>
              </w:rPr>
              <w:t>Cp</w:t>
            </w:r>
            <w:r w:rsidRPr="0098223A">
              <w:rPr>
                <w:rFonts w:eastAsia="Bitstream Vera Sans"/>
                <w:shd w:val="clear" w:color="auto" w:fill="FFFFFF"/>
                <w:vertAlign w:val="subscript"/>
              </w:rPr>
              <w:t>o</w:t>
            </w:r>
            <w:proofErr w:type="spellEnd"/>
            <w:r w:rsidRPr="0098223A">
              <w:rPr>
                <w:rFonts w:eastAsia="Bitstream Vera Sans"/>
                <w:shd w:val="clear" w:color="auto" w:fill="FFFFFF"/>
              </w:rPr>
              <w:t>(i)</w:t>
            </w:r>
          </w:p>
        </w:tc>
        <w:tc>
          <w:tcPr>
            <w:tcW w:w="7599" w:type="dxa"/>
          </w:tcPr>
          <w:p w14:paraId="578712C3" w14:textId="77777777" w:rsidR="00BE1E16" w:rsidRPr="0098223A" w:rsidRDefault="00BE1E16" w:rsidP="00C44DC0">
            <w:pPr>
              <w:suppressAutoHyphens/>
              <w:snapToGrid w:val="0"/>
              <w:jc w:val="both"/>
              <w:rPr>
                <w:rFonts w:eastAsia="Arial Unicode MS"/>
              </w:rPr>
            </w:pPr>
            <w:r w:rsidRPr="0098223A">
              <w:rPr>
                <w:rFonts w:eastAsia="Bitstream Vera Sans"/>
                <w:shd w:val="clear" w:color="auto" w:fill="FFFFFF"/>
              </w:rPr>
              <w:t>stroški posamezne vrste obstoječe komunalne opreme na m</w:t>
            </w:r>
            <w:r w:rsidRPr="0098223A">
              <w:rPr>
                <w:rFonts w:eastAsia="Bitstream Vera Sans"/>
                <w:shd w:val="clear" w:color="auto" w:fill="FFFFFF"/>
                <w:vertAlign w:val="superscript"/>
              </w:rPr>
              <w:t>2</w:t>
            </w:r>
            <w:r w:rsidRPr="0098223A">
              <w:rPr>
                <w:rFonts w:eastAsia="Bitstream Vera Sans"/>
                <w:shd w:val="clear" w:color="auto" w:fill="FFFFFF"/>
              </w:rPr>
              <w:t xml:space="preserve"> gradbene parcele stavbe,</w:t>
            </w:r>
          </w:p>
        </w:tc>
      </w:tr>
      <w:tr w:rsidR="00BE1E16" w:rsidRPr="0098223A" w14:paraId="50EC9A98" w14:textId="77777777" w:rsidTr="00BE1E16">
        <w:trPr>
          <w:tblCellSpacing w:w="20" w:type="dxa"/>
        </w:trPr>
        <w:tc>
          <w:tcPr>
            <w:tcW w:w="1353" w:type="dxa"/>
          </w:tcPr>
          <w:p w14:paraId="176CD125" w14:textId="77777777" w:rsidR="00BE1E16" w:rsidRPr="0098223A" w:rsidRDefault="00BE1E16" w:rsidP="00C44DC0">
            <w:pPr>
              <w:suppressAutoHyphens/>
              <w:snapToGrid w:val="0"/>
              <w:jc w:val="both"/>
              <w:rPr>
                <w:rFonts w:eastAsia="Arial Unicode MS"/>
              </w:rPr>
            </w:pPr>
            <w:proofErr w:type="spellStart"/>
            <w:r w:rsidRPr="0098223A">
              <w:rPr>
                <w:rFonts w:eastAsia="Bitstream Vera Sans"/>
              </w:rPr>
              <w:t>Dp</w:t>
            </w:r>
            <w:r w:rsidRPr="0098223A">
              <w:rPr>
                <w:rFonts w:eastAsia="Bitstream Vera Sans"/>
                <w:vertAlign w:val="subscript"/>
              </w:rPr>
              <w:t>o</w:t>
            </w:r>
            <w:proofErr w:type="spellEnd"/>
          </w:p>
        </w:tc>
        <w:tc>
          <w:tcPr>
            <w:tcW w:w="7599" w:type="dxa"/>
          </w:tcPr>
          <w:p w14:paraId="44A033B6" w14:textId="7EBEF8B1" w:rsidR="00BE1E16" w:rsidRPr="0098223A" w:rsidRDefault="00BE1E16" w:rsidP="00C44DC0">
            <w:pPr>
              <w:suppressAutoHyphens/>
              <w:snapToGrid w:val="0"/>
              <w:jc w:val="both"/>
              <w:rPr>
                <w:rFonts w:eastAsia="Arial Unicode MS"/>
              </w:rPr>
            </w:pPr>
            <w:r w:rsidRPr="0098223A">
              <w:rPr>
                <w:rFonts w:eastAsia="Bitstream Vera Sans"/>
              </w:rPr>
              <w:t>delež gradbene parcele stavbe (0,</w:t>
            </w:r>
            <w:r w:rsidR="00A23077">
              <w:rPr>
                <w:rFonts w:eastAsia="Bitstream Vera Sans"/>
              </w:rPr>
              <w:t>5</w:t>
            </w:r>
            <w:r w:rsidRPr="0098223A">
              <w:rPr>
                <w:rFonts w:eastAsia="Bitstream Vera Sans"/>
              </w:rPr>
              <w:t>0) pri izračunu komunalnega prispevka za obstoječo komunalno opremo,</w:t>
            </w:r>
          </w:p>
        </w:tc>
      </w:tr>
      <w:tr w:rsidR="00BE1E16" w:rsidRPr="0098223A" w14:paraId="44FB34EE" w14:textId="77777777" w:rsidTr="00BE1E16">
        <w:trPr>
          <w:tblCellSpacing w:w="20" w:type="dxa"/>
        </w:trPr>
        <w:tc>
          <w:tcPr>
            <w:tcW w:w="1353" w:type="dxa"/>
          </w:tcPr>
          <w:p w14:paraId="1FF38C04" w14:textId="77777777" w:rsidR="00BE1E16" w:rsidRPr="0098223A" w:rsidRDefault="00BE1E16" w:rsidP="00C44DC0">
            <w:pPr>
              <w:suppressAutoHyphens/>
              <w:snapToGrid w:val="0"/>
              <w:jc w:val="both"/>
              <w:rPr>
                <w:rFonts w:eastAsia="Arial Unicode MS"/>
              </w:rPr>
            </w:pPr>
            <w:r w:rsidRPr="0098223A">
              <w:rPr>
                <w:rFonts w:eastAsia="Arial Unicode MS"/>
              </w:rPr>
              <w:t>A</w:t>
            </w:r>
            <w:r w:rsidRPr="0098223A">
              <w:rPr>
                <w:rFonts w:eastAsia="Arial Unicode MS"/>
                <w:vertAlign w:val="subscript"/>
              </w:rPr>
              <w:t>STAVBA</w:t>
            </w:r>
          </w:p>
        </w:tc>
        <w:tc>
          <w:tcPr>
            <w:tcW w:w="7599" w:type="dxa"/>
          </w:tcPr>
          <w:p w14:paraId="5D4F4447" w14:textId="77777777" w:rsidR="00BE1E16" w:rsidRPr="0098223A" w:rsidRDefault="00BE1E16" w:rsidP="00C44DC0">
            <w:pPr>
              <w:suppressAutoHyphens/>
              <w:snapToGrid w:val="0"/>
              <w:jc w:val="both"/>
              <w:rPr>
                <w:rFonts w:eastAsia="Arial Unicode MS"/>
              </w:rPr>
            </w:pPr>
            <w:r w:rsidRPr="0098223A">
              <w:rPr>
                <w:rFonts w:eastAsia="Arial Unicode MS"/>
              </w:rPr>
              <w:t xml:space="preserve">bruto tlorisna </w:t>
            </w:r>
            <w:r w:rsidRPr="0098223A">
              <w:rPr>
                <w:rFonts w:eastAsia="Arial Unicode MS"/>
                <w:bCs/>
              </w:rPr>
              <w:t xml:space="preserve">površina stavbe </w:t>
            </w:r>
            <w:r w:rsidRPr="0098223A">
              <w:rPr>
                <w:rFonts w:eastAsia="Bitstream Vera Sans"/>
              </w:rPr>
              <w:t>(m</w:t>
            </w:r>
            <w:r w:rsidRPr="0098223A">
              <w:rPr>
                <w:rFonts w:eastAsia="Bitstream Vera Sans"/>
                <w:vertAlign w:val="superscript"/>
              </w:rPr>
              <w:t>2</w:t>
            </w:r>
            <w:r w:rsidRPr="0098223A">
              <w:rPr>
                <w:rFonts w:eastAsia="Bitstream Vera Sans"/>
              </w:rPr>
              <w:t>),</w:t>
            </w:r>
          </w:p>
        </w:tc>
      </w:tr>
      <w:tr w:rsidR="00BE1E16" w:rsidRPr="0098223A" w14:paraId="7F7F8CC2" w14:textId="77777777" w:rsidTr="00BE1E16">
        <w:trPr>
          <w:tblCellSpacing w:w="20" w:type="dxa"/>
        </w:trPr>
        <w:tc>
          <w:tcPr>
            <w:tcW w:w="1353" w:type="dxa"/>
          </w:tcPr>
          <w:p w14:paraId="742A5FD5" w14:textId="77777777" w:rsidR="00BE1E16" w:rsidRPr="0098223A" w:rsidRDefault="00BE1E16" w:rsidP="00C44DC0">
            <w:pPr>
              <w:suppressAutoHyphens/>
              <w:snapToGrid w:val="0"/>
              <w:jc w:val="both"/>
              <w:rPr>
                <w:rFonts w:eastAsia="Arial Unicode MS"/>
              </w:rPr>
            </w:pPr>
            <w:proofErr w:type="spellStart"/>
            <w:r w:rsidRPr="0098223A">
              <w:rPr>
                <w:rFonts w:eastAsia="Bitstream Vera Sans"/>
              </w:rPr>
              <w:t>Ct</w:t>
            </w:r>
            <w:r w:rsidRPr="0098223A">
              <w:rPr>
                <w:rFonts w:eastAsia="Bitstream Vera Sans"/>
                <w:vertAlign w:val="subscript"/>
              </w:rPr>
              <w:t>o</w:t>
            </w:r>
            <w:proofErr w:type="spellEnd"/>
            <w:r w:rsidRPr="0098223A">
              <w:rPr>
                <w:rFonts w:eastAsia="Bitstream Vera Sans"/>
              </w:rPr>
              <w:t>(i)</w:t>
            </w:r>
          </w:p>
        </w:tc>
        <w:tc>
          <w:tcPr>
            <w:tcW w:w="7599" w:type="dxa"/>
          </w:tcPr>
          <w:p w14:paraId="18AB5243" w14:textId="77777777" w:rsidR="00BE1E16" w:rsidRPr="0098223A" w:rsidRDefault="00BE1E16" w:rsidP="00C44DC0">
            <w:pPr>
              <w:suppressAutoHyphens/>
              <w:snapToGrid w:val="0"/>
              <w:jc w:val="both"/>
              <w:rPr>
                <w:rFonts w:eastAsia="Arial Unicode MS"/>
              </w:rPr>
            </w:pPr>
            <w:r w:rsidRPr="0098223A">
              <w:rPr>
                <w:rFonts w:eastAsia="Bitstream Vera Sans"/>
              </w:rPr>
              <w:t>stroški posamezne vrste obstoječe komunalne opreme na m</w:t>
            </w:r>
            <w:r w:rsidRPr="0098223A">
              <w:rPr>
                <w:rFonts w:eastAsia="Bitstream Vera Sans"/>
                <w:shd w:val="clear" w:color="auto" w:fill="FFFFFF"/>
                <w:vertAlign w:val="superscript"/>
              </w:rPr>
              <w:t>2</w:t>
            </w:r>
            <w:r w:rsidRPr="0098223A">
              <w:rPr>
                <w:rFonts w:eastAsia="Bitstream Vera Sans"/>
              </w:rPr>
              <w:t xml:space="preserve"> bruto tlorisne površine objekta,</w:t>
            </w:r>
          </w:p>
        </w:tc>
      </w:tr>
      <w:tr w:rsidR="00BE1E16" w:rsidRPr="0098223A" w14:paraId="0CB5D811" w14:textId="77777777" w:rsidTr="00BE1E16">
        <w:trPr>
          <w:tblCellSpacing w:w="20" w:type="dxa"/>
        </w:trPr>
        <w:tc>
          <w:tcPr>
            <w:tcW w:w="1353" w:type="dxa"/>
          </w:tcPr>
          <w:p w14:paraId="5B47E610" w14:textId="77777777" w:rsidR="00BE1E16" w:rsidRPr="0098223A" w:rsidRDefault="00BE1E16" w:rsidP="00C44DC0">
            <w:pPr>
              <w:suppressAutoHyphens/>
              <w:snapToGrid w:val="0"/>
              <w:jc w:val="both"/>
              <w:rPr>
                <w:rFonts w:eastAsia="Arial Unicode MS"/>
              </w:rPr>
            </w:pPr>
            <w:proofErr w:type="spellStart"/>
            <w:r w:rsidRPr="0098223A">
              <w:rPr>
                <w:rFonts w:eastAsia="Bitstream Vera Sans"/>
              </w:rPr>
              <w:t>Dt</w:t>
            </w:r>
            <w:r w:rsidRPr="0098223A">
              <w:rPr>
                <w:rFonts w:eastAsia="Bitstream Vera Sans"/>
                <w:vertAlign w:val="subscript"/>
              </w:rPr>
              <w:t>o</w:t>
            </w:r>
            <w:proofErr w:type="spellEnd"/>
          </w:p>
        </w:tc>
        <w:tc>
          <w:tcPr>
            <w:tcW w:w="7599" w:type="dxa"/>
          </w:tcPr>
          <w:p w14:paraId="7051C9C1" w14:textId="5EBC145E" w:rsidR="00BE1E16" w:rsidRPr="0098223A" w:rsidRDefault="00BE1E16" w:rsidP="00C44DC0">
            <w:pPr>
              <w:suppressAutoHyphens/>
              <w:snapToGrid w:val="0"/>
              <w:jc w:val="both"/>
              <w:rPr>
                <w:rFonts w:eastAsia="Arial Unicode MS"/>
              </w:rPr>
            </w:pPr>
            <w:r w:rsidRPr="0098223A">
              <w:rPr>
                <w:rFonts w:eastAsia="Bitstream Vera Sans"/>
              </w:rPr>
              <w:t>delež površine objekta (0,</w:t>
            </w:r>
            <w:r w:rsidR="00A23077">
              <w:rPr>
                <w:rFonts w:eastAsia="Bitstream Vera Sans"/>
              </w:rPr>
              <w:t>5</w:t>
            </w:r>
            <w:r w:rsidRPr="0098223A">
              <w:rPr>
                <w:rFonts w:eastAsia="Bitstream Vera Sans"/>
              </w:rPr>
              <w:t>0) pri izračunu komunalnega prispevka za obstoječo komunalno opremo,</w:t>
            </w:r>
          </w:p>
        </w:tc>
      </w:tr>
      <w:tr w:rsidR="00BE1E16" w:rsidRPr="0098223A" w14:paraId="711C79A1" w14:textId="77777777" w:rsidTr="00BE1E16">
        <w:trPr>
          <w:tblCellSpacing w:w="20" w:type="dxa"/>
        </w:trPr>
        <w:tc>
          <w:tcPr>
            <w:tcW w:w="1353" w:type="dxa"/>
          </w:tcPr>
          <w:p w14:paraId="372ECDD5" w14:textId="77777777" w:rsidR="00BE1E16" w:rsidRPr="0098223A" w:rsidRDefault="00BE1E16" w:rsidP="00C44DC0">
            <w:pPr>
              <w:suppressAutoHyphens/>
              <w:snapToGrid w:val="0"/>
              <w:jc w:val="both"/>
              <w:rPr>
                <w:rFonts w:eastAsia="Arial Unicode MS"/>
              </w:rPr>
            </w:pPr>
            <w:proofErr w:type="spellStart"/>
            <w:r w:rsidRPr="0098223A">
              <w:rPr>
                <w:rFonts w:eastAsia="Arial Unicode MS"/>
              </w:rPr>
              <w:t>F</w:t>
            </w:r>
            <w:r w:rsidRPr="0098223A">
              <w:rPr>
                <w:rFonts w:eastAsia="Arial Unicode MS"/>
                <w:vertAlign w:val="subscript"/>
              </w:rPr>
              <w:t>n</w:t>
            </w:r>
            <w:proofErr w:type="spellEnd"/>
          </w:p>
        </w:tc>
        <w:tc>
          <w:tcPr>
            <w:tcW w:w="7599" w:type="dxa"/>
          </w:tcPr>
          <w:p w14:paraId="199B2D10" w14:textId="77777777" w:rsidR="00BE1E16" w:rsidRPr="0098223A" w:rsidRDefault="00BE1E16" w:rsidP="00C44DC0">
            <w:pPr>
              <w:suppressAutoHyphens/>
              <w:snapToGrid w:val="0"/>
              <w:jc w:val="both"/>
              <w:rPr>
                <w:rFonts w:eastAsia="Arial Unicode MS"/>
              </w:rPr>
            </w:pPr>
            <w:r w:rsidRPr="0098223A">
              <w:rPr>
                <w:rFonts w:eastAsia="Bitstream Vera Sans"/>
                <w:shd w:val="clear" w:color="auto" w:fill="FFFFFF"/>
              </w:rPr>
              <w:t>faktor namembnosti objekta glede na njegov namen uporabe,</w:t>
            </w:r>
            <w:r w:rsidRPr="0098223A">
              <w:rPr>
                <w:rFonts w:eastAsia="Bitstream Vera Sans"/>
              </w:rPr>
              <w:t xml:space="preserve"> </w:t>
            </w:r>
          </w:p>
        </w:tc>
      </w:tr>
      <w:tr w:rsidR="00BE1E16" w:rsidRPr="0098223A" w14:paraId="3339FAFE" w14:textId="77777777" w:rsidTr="00BE1E16">
        <w:trPr>
          <w:tblCellSpacing w:w="20" w:type="dxa"/>
        </w:trPr>
        <w:tc>
          <w:tcPr>
            <w:tcW w:w="1353" w:type="dxa"/>
          </w:tcPr>
          <w:p w14:paraId="6C7305E1" w14:textId="77777777" w:rsidR="00BE1E16" w:rsidRPr="0098223A" w:rsidRDefault="00BE1E16" w:rsidP="00C44DC0">
            <w:pPr>
              <w:suppressAutoHyphens/>
              <w:snapToGrid w:val="0"/>
              <w:jc w:val="both"/>
              <w:rPr>
                <w:rFonts w:eastAsia="Arial Unicode MS"/>
                <w:vertAlign w:val="subscript"/>
              </w:rPr>
            </w:pPr>
            <w:proofErr w:type="spellStart"/>
            <w:r w:rsidRPr="0098223A">
              <w:rPr>
                <w:rFonts w:eastAsia="Arial Unicode MS"/>
              </w:rPr>
              <w:t>p</w:t>
            </w:r>
            <w:r w:rsidRPr="0098223A">
              <w:rPr>
                <w:rFonts w:eastAsia="Arial Unicode MS"/>
                <w:vertAlign w:val="subscript"/>
              </w:rPr>
              <w:t>sz</w:t>
            </w:r>
            <w:proofErr w:type="spellEnd"/>
            <w:r w:rsidRPr="0098223A">
              <w:rPr>
                <w:rFonts w:eastAsia="Arial Unicode MS"/>
              </w:rPr>
              <w:t>(i)</w:t>
            </w:r>
          </w:p>
        </w:tc>
        <w:tc>
          <w:tcPr>
            <w:tcW w:w="7599" w:type="dxa"/>
          </w:tcPr>
          <w:p w14:paraId="13B57443" w14:textId="77777777" w:rsidR="00BE1E16" w:rsidRPr="0098223A" w:rsidRDefault="00BE1E16" w:rsidP="00C44DC0">
            <w:pPr>
              <w:suppressAutoHyphens/>
              <w:snapToGrid w:val="0"/>
              <w:jc w:val="both"/>
              <w:rPr>
                <w:rFonts w:eastAsia="Arial Unicode MS"/>
              </w:rPr>
            </w:pPr>
            <w:r w:rsidRPr="0098223A">
              <w:rPr>
                <w:rFonts w:eastAsia="Bitstream Vera Sans"/>
                <w:shd w:val="clear" w:color="auto" w:fill="FFFFFF"/>
              </w:rPr>
              <w:t>prispevna stopnja zavezanca za posamezno vrsto obstoječe komunalne opreme (%),</w:t>
            </w:r>
          </w:p>
        </w:tc>
      </w:tr>
      <w:tr w:rsidR="00BE1E16" w:rsidRPr="0098223A" w14:paraId="4E2630D0" w14:textId="77777777" w:rsidTr="00BE1E16">
        <w:trPr>
          <w:tblCellSpacing w:w="20" w:type="dxa"/>
        </w:trPr>
        <w:tc>
          <w:tcPr>
            <w:tcW w:w="1353" w:type="dxa"/>
          </w:tcPr>
          <w:p w14:paraId="525EB525" w14:textId="77777777" w:rsidR="00BE1E16" w:rsidRPr="0098223A" w:rsidRDefault="00BE1E16" w:rsidP="00C44DC0">
            <w:pPr>
              <w:suppressAutoHyphens/>
              <w:snapToGrid w:val="0"/>
              <w:jc w:val="both"/>
              <w:rPr>
                <w:rFonts w:eastAsia="Arial Unicode MS"/>
                <w:vertAlign w:val="subscript"/>
              </w:rPr>
            </w:pPr>
            <w:r w:rsidRPr="0098223A">
              <w:rPr>
                <w:rFonts w:eastAsia="Arial Unicode MS"/>
              </w:rPr>
              <w:t>i</w:t>
            </w:r>
          </w:p>
        </w:tc>
        <w:tc>
          <w:tcPr>
            <w:tcW w:w="7599" w:type="dxa"/>
          </w:tcPr>
          <w:p w14:paraId="1658223D" w14:textId="77777777" w:rsidR="00BE1E16" w:rsidRPr="0098223A" w:rsidRDefault="00BE1E16" w:rsidP="003A4FFE">
            <w:pPr>
              <w:suppressAutoHyphens/>
              <w:snapToGrid w:val="0"/>
              <w:jc w:val="both"/>
              <w:rPr>
                <w:rFonts w:eastAsia="Arial Unicode MS"/>
              </w:rPr>
            </w:pPr>
            <w:r w:rsidRPr="0098223A">
              <w:rPr>
                <w:rFonts w:eastAsia="Bitstream Vera Sans"/>
              </w:rPr>
              <w:t>posamezna vrsta obstoječe komunalne opreme.</w:t>
            </w:r>
          </w:p>
        </w:tc>
      </w:tr>
    </w:tbl>
    <w:p w14:paraId="5F0D500E" w14:textId="43E637A2" w:rsidR="00BE1E16" w:rsidRPr="0098223A" w:rsidRDefault="00BE1E16" w:rsidP="00222889">
      <w:pPr>
        <w:contextualSpacing/>
        <w:jc w:val="both"/>
        <w:rPr>
          <w:rFonts w:eastAsia="Calibri"/>
          <w:lang w:eastAsia="en-US"/>
        </w:rPr>
      </w:pPr>
    </w:p>
    <w:p w14:paraId="1CC5198E" w14:textId="77777777" w:rsidR="00BE1E16" w:rsidRPr="0098223A" w:rsidRDefault="00BE1E16" w:rsidP="00B61C69">
      <w:pPr>
        <w:numPr>
          <w:ilvl w:val="0"/>
          <w:numId w:val="13"/>
        </w:numPr>
        <w:contextualSpacing/>
        <w:jc w:val="both"/>
        <w:rPr>
          <w:rFonts w:eastAsia="Calibri"/>
          <w:lang w:eastAsia="en-US"/>
        </w:rPr>
      </w:pPr>
      <w:r w:rsidRPr="0098223A">
        <w:rPr>
          <w:rFonts w:eastAsia="Calibri"/>
          <w:lang w:eastAsia="en-US"/>
        </w:rPr>
        <w:t>Komunalni prispevek za posamezno vrsto obstoječe komunalne opreme se za gradbene inženirske objekte izračuna po naslednji enačbi:</w:t>
      </w:r>
    </w:p>
    <w:p w14:paraId="507228B6" w14:textId="77777777" w:rsidR="00822E63" w:rsidRPr="0098223A" w:rsidRDefault="00822E63" w:rsidP="00822E63">
      <w:pPr>
        <w:ind w:left="720"/>
        <w:contextualSpacing/>
        <w:jc w:val="both"/>
        <w:rPr>
          <w:rFonts w:eastAsia="Calibri"/>
          <w:lang w:eastAsia="en-US"/>
        </w:rPr>
      </w:pPr>
    </w:p>
    <w:p w14:paraId="4690BCF0" w14:textId="77777777" w:rsidR="00BE1E16" w:rsidRPr="0098223A" w:rsidRDefault="00BE1E16" w:rsidP="00C44DC0">
      <w:pPr>
        <w:jc w:val="center"/>
        <w:rPr>
          <w:rFonts w:eastAsia="Calibri"/>
          <w:lang w:eastAsia="en-US"/>
        </w:rPr>
      </w:pP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(i)</w:t>
      </w:r>
      <w:r w:rsidRPr="0098223A">
        <w:rPr>
          <w:rFonts w:eastAsia="Calibri"/>
          <w:vertAlign w:val="subscript"/>
          <w:lang w:eastAsia="en-US"/>
        </w:rPr>
        <w:t xml:space="preserve"> </w:t>
      </w:r>
      <w:r w:rsidRPr="0098223A">
        <w:rPr>
          <w:rFonts w:eastAsia="Calibri"/>
          <w:lang w:eastAsia="en-US"/>
        </w:rPr>
        <w:t>= A</w:t>
      </w:r>
      <w:r w:rsidRPr="0098223A">
        <w:rPr>
          <w:rFonts w:eastAsia="Calibri"/>
          <w:vertAlign w:val="subscript"/>
          <w:lang w:eastAsia="en-US"/>
        </w:rPr>
        <w:t>GIO</w:t>
      </w:r>
      <w:r w:rsidRPr="0098223A">
        <w:rPr>
          <w:rFonts w:eastAsia="Calibri"/>
          <w:lang w:eastAsia="en-US"/>
        </w:rPr>
        <w:t xml:space="preserve"> x </w:t>
      </w:r>
      <w:proofErr w:type="spellStart"/>
      <w:r w:rsidRPr="0098223A">
        <w:rPr>
          <w:rFonts w:eastAsia="Calibri"/>
          <w:lang w:eastAsia="en-US"/>
        </w:rPr>
        <w:t>Ct</w:t>
      </w:r>
      <w:r w:rsidRPr="0098223A">
        <w:rPr>
          <w:rFonts w:eastAsia="Calibri"/>
          <w:vertAlign w:val="subscript"/>
          <w:lang w:eastAsia="en-US"/>
        </w:rPr>
        <w:t>o</w:t>
      </w:r>
      <w:proofErr w:type="spellEnd"/>
      <w:r w:rsidRPr="0098223A">
        <w:rPr>
          <w:rFonts w:eastAsia="Calibri"/>
          <w:lang w:eastAsia="en-US"/>
        </w:rPr>
        <w:t>(i)</w:t>
      </w:r>
      <w:r w:rsidRPr="0098223A">
        <w:rPr>
          <w:rFonts w:eastAsia="Calibri"/>
          <w:vertAlign w:val="subscript"/>
          <w:lang w:eastAsia="en-US"/>
        </w:rPr>
        <w:t xml:space="preserve"> </w:t>
      </w:r>
      <w:r w:rsidRPr="0098223A">
        <w:rPr>
          <w:rFonts w:eastAsia="Calibri"/>
          <w:lang w:eastAsia="en-US"/>
        </w:rPr>
        <w:t xml:space="preserve">x </w:t>
      </w:r>
      <w:proofErr w:type="spellStart"/>
      <w:r w:rsidRPr="0098223A">
        <w:rPr>
          <w:rFonts w:eastAsia="Calibri"/>
          <w:lang w:eastAsia="en-US"/>
        </w:rPr>
        <w:t>Dt</w:t>
      </w:r>
      <w:r w:rsidRPr="0098223A">
        <w:rPr>
          <w:rFonts w:eastAsia="Calibri"/>
          <w:vertAlign w:val="subscript"/>
          <w:lang w:eastAsia="en-US"/>
        </w:rPr>
        <w:t>o</w:t>
      </w:r>
      <w:proofErr w:type="spellEnd"/>
      <w:r w:rsidRPr="0098223A">
        <w:rPr>
          <w:rFonts w:eastAsia="Calibri"/>
          <w:lang w:eastAsia="en-US"/>
        </w:rPr>
        <w:t xml:space="preserve"> x </w:t>
      </w:r>
      <w:proofErr w:type="spellStart"/>
      <w:r w:rsidRPr="0098223A">
        <w:rPr>
          <w:rFonts w:eastAsia="Calibri"/>
          <w:lang w:eastAsia="en-US"/>
        </w:rPr>
        <w:t>F</w:t>
      </w:r>
      <w:r w:rsidRPr="0098223A">
        <w:rPr>
          <w:rFonts w:eastAsia="Calibri"/>
          <w:vertAlign w:val="subscript"/>
          <w:lang w:eastAsia="en-US"/>
        </w:rPr>
        <w:t>n</w:t>
      </w:r>
      <w:proofErr w:type="spellEnd"/>
      <w:r w:rsidRPr="0098223A">
        <w:rPr>
          <w:rFonts w:eastAsia="Calibri"/>
          <w:lang w:eastAsia="en-US"/>
        </w:rPr>
        <w:t xml:space="preserve"> x </w:t>
      </w:r>
      <w:proofErr w:type="spellStart"/>
      <w:r w:rsidRPr="0098223A">
        <w:rPr>
          <w:rFonts w:eastAsia="Calibri"/>
          <w:lang w:eastAsia="en-US"/>
        </w:rPr>
        <w:t>p</w:t>
      </w:r>
      <w:r w:rsidRPr="0098223A">
        <w:rPr>
          <w:rFonts w:eastAsia="Calibri"/>
          <w:vertAlign w:val="subscript"/>
          <w:lang w:eastAsia="en-US"/>
        </w:rPr>
        <w:t>sz</w:t>
      </w:r>
      <w:proofErr w:type="spellEnd"/>
      <w:r w:rsidRPr="0098223A">
        <w:rPr>
          <w:rFonts w:eastAsia="Calibri"/>
          <w:lang w:eastAsia="en-US"/>
        </w:rPr>
        <w:t xml:space="preserve"> (i)</w:t>
      </w:r>
    </w:p>
    <w:p w14:paraId="39AD0F77" w14:textId="77777777" w:rsidR="00822E63" w:rsidRPr="0098223A" w:rsidRDefault="00822E63" w:rsidP="00C44DC0">
      <w:pPr>
        <w:jc w:val="center"/>
        <w:rPr>
          <w:rFonts w:eastAsia="Calibri"/>
          <w:lang w:eastAsia="en-US"/>
        </w:rPr>
      </w:pPr>
    </w:p>
    <w:p w14:paraId="3F371EA0" w14:textId="77777777" w:rsidR="00BE1E16" w:rsidRPr="0098223A" w:rsidRDefault="00191216" w:rsidP="00191216">
      <w:pPr>
        <w:ind w:left="709"/>
        <w:jc w:val="both"/>
        <w:rPr>
          <w:rFonts w:eastAsia="Calibri"/>
          <w:lang w:eastAsia="en-US"/>
        </w:rPr>
      </w:pPr>
      <w:r w:rsidRPr="0098223A">
        <w:rPr>
          <w:rFonts w:eastAsia="Calibri"/>
          <w:lang w:eastAsia="en-US"/>
        </w:rPr>
        <w:t>O</w:t>
      </w:r>
      <w:r w:rsidR="00BE1E16" w:rsidRPr="0098223A">
        <w:rPr>
          <w:rFonts w:eastAsia="Calibri"/>
          <w:lang w:eastAsia="en-US"/>
        </w:rPr>
        <w:t>znak</w:t>
      </w:r>
      <w:r w:rsidRPr="0098223A">
        <w:rPr>
          <w:rFonts w:eastAsia="Calibri"/>
          <w:lang w:eastAsia="en-US"/>
        </w:rPr>
        <w:t>a</w:t>
      </w:r>
      <w:r w:rsidR="00BE1E16" w:rsidRPr="0098223A">
        <w:rPr>
          <w:rFonts w:eastAsia="Calibri"/>
          <w:lang w:eastAsia="en-US"/>
        </w:rPr>
        <w:t xml:space="preserve"> </w:t>
      </w:r>
      <w:r w:rsidRPr="0098223A">
        <w:rPr>
          <w:rFonts w:eastAsia="Calibri"/>
          <w:lang w:eastAsia="en-US"/>
        </w:rPr>
        <w:t>A</w:t>
      </w:r>
      <w:r w:rsidRPr="0098223A">
        <w:rPr>
          <w:rFonts w:eastAsia="Calibri"/>
          <w:vertAlign w:val="subscript"/>
          <w:lang w:eastAsia="en-US"/>
        </w:rPr>
        <w:t>GIO</w:t>
      </w:r>
      <w:r w:rsidRPr="0098223A">
        <w:rPr>
          <w:rFonts w:eastAsia="Calibri"/>
          <w:lang w:eastAsia="en-US"/>
        </w:rPr>
        <w:t xml:space="preserve"> </w:t>
      </w:r>
      <w:r w:rsidR="00BE1E16" w:rsidRPr="0098223A">
        <w:rPr>
          <w:rFonts w:eastAsia="Calibri"/>
          <w:lang w:eastAsia="en-US"/>
        </w:rPr>
        <w:t>pomeni</w:t>
      </w:r>
      <w:r w:rsidRPr="0098223A">
        <w:rPr>
          <w:rFonts w:eastAsia="Calibri"/>
          <w:lang w:eastAsia="en-US"/>
        </w:rPr>
        <w:t xml:space="preserve"> površino gradbenega inženirskega objekta</w:t>
      </w:r>
      <w:r w:rsidRPr="0098223A">
        <w:rPr>
          <w:rFonts w:eastAsia="Bitstream Vera Sans"/>
        </w:rPr>
        <w:t xml:space="preserve">, </w:t>
      </w:r>
      <w:r w:rsidRPr="0098223A">
        <w:rPr>
          <w:rFonts w:eastAsia="Calibri"/>
          <w:lang w:eastAsia="en-US"/>
        </w:rPr>
        <w:t>druge oznake pomenijo enako, kot je določeno v 1. odstavku tega člena.</w:t>
      </w:r>
    </w:p>
    <w:p w14:paraId="409EA429" w14:textId="77777777" w:rsidR="00BE1E16" w:rsidRPr="0098223A" w:rsidRDefault="00BE1E16" w:rsidP="00B61C69">
      <w:pPr>
        <w:numPr>
          <w:ilvl w:val="0"/>
          <w:numId w:val="13"/>
        </w:numPr>
        <w:contextualSpacing/>
        <w:jc w:val="both"/>
        <w:rPr>
          <w:rFonts w:eastAsia="Calibri"/>
          <w:lang w:eastAsia="en-US"/>
        </w:rPr>
      </w:pPr>
      <w:r w:rsidRPr="0098223A">
        <w:rPr>
          <w:rFonts w:eastAsia="Calibri"/>
          <w:lang w:eastAsia="en-US"/>
        </w:rPr>
        <w:t>Če se odmerja komunalni prispevek za objekte, ki se uvrščajo med druge gradbene posege, se komunalni prispevek izračuna ob smiselnem upoštevanju 1. in 3. odstavka tega člena.</w:t>
      </w:r>
    </w:p>
    <w:p w14:paraId="210C900A" w14:textId="77777777" w:rsidR="00BE1E16" w:rsidRPr="0098223A" w:rsidRDefault="00BE1E16" w:rsidP="00B61C69">
      <w:pPr>
        <w:numPr>
          <w:ilvl w:val="0"/>
          <w:numId w:val="13"/>
        </w:numPr>
        <w:contextualSpacing/>
        <w:jc w:val="both"/>
        <w:rPr>
          <w:rFonts w:eastAsia="Calibri"/>
          <w:lang w:eastAsia="en-US"/>
        </w:rPr>
      </w:pPr>
      <w:r w:rsidRPr="0098223A">
        <w:rPr>
          <w:rFonts w:eastAsia="Calibri"/>
          <w:lang w:eastAsia="en-US"/>
        </w:rPr>
        <w:t>Komunalni prispevek za obstoječo komunalno opremo, ki se odmeri zavezancu, se izračuna kot seštevek zneskov komunalnih prispevkov za posamezno vrsto obstoječe komunalne opreme iz 1., 3. ali 4. odstavka tega člena po enačbi:</w:t>
      </w:r>
    </w:p>
    <w:p w14:paraId="79FE8C9F" w14:textId="77777777" w:rsidR="00D167D4" w:rsidRPr="0098223A" w:rsidRDefault="00D167D4" w:rsidP="00D167D4">
      <w:pPr>
        <w:ind w:left="720"/>
        <w:contextualSpacing/>
        <w:jc w:val="both"/>
        <w:rPr>
          <w:rFonts w:eastAsia="Calibri"/>
          <w:lang w:eastAsia="en-US"/>
        </w:rPr>
      </w:pPr>
    </w:p>
    <w:p w14:paraId="3565AA6C" w14:textId="77777777" w:rsidR="00BE1E16" w:rsidRPr="0098223A" w:rsidRDefault="00BE1E16" w:rsidP="00C44DC0">
      <w:pPr>
        <w:jc w:val="center"/>
        <w:rPr>
          <w:rFonts w:eastAsia="Calibri"/>
          <w:lang w:eastAsia="en-US"/>
        </w:rPr>
      </w:pP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 xml:space="preserve"> = ∑</w:t>
      </w: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(i)</w:t>
      </w:r>
      <w:r w:rsidR="00D167D4" w:rsidRPr="0098223A">
        <w:rPr>
          <w:rFonts w:eastAsia="Calibri"/>
          <w:lang w:eastAsia="en-US"/>
        </w:rPr>
        <w:t>,</w:t>
      </w:r>
    </w:p>
    <w:p w14:paraId="1847B20D" w14:textId="77777777" w:rsidR="00D167D4" w:rsidRPr="0098223A" w:rsidRDefault="00D167D4" w:rsidP="00C44DC0">
      <w:pPr>
        <w:jc w:val="center"/>
        <w:rPr>
          <w:rFonts w:eastAsia="Calibri"/>
          <w:lang w:eastAsia="en-US"/>
        </w:rPr>
      </w:pPr>
    </w:p>
    <w:p w14:paraId="118654C6" w14:textId="77777777" w:rsidR="00BE1E16" w:rsidRPr="0098223A" w:rsidRDefault="00BE1E16" w:rsidP="00C44DC0">
      <w:pPr>
        <w:ind w:left="708"/>
        <w:jc w:val="both"/>
        <w:rPr>
          <w:rFonts w:eastAsia="Calibri"/>
          <w:lang w:eastAsia="en-US"/>
        </w:rPr>
      </w:pPr>
      <w:r w:rsidRPr="0098223A">
        <w:rPr>
          <w:rFonts w:eastAsia="Calibri"/>
          <w:lang w:eastAsia="en-US"/>
        </w:rPr>
        <w:t xml:space="preserve">pri čemer je </w:t>
      </w:r>
      <w:proofErr w:type="spellStart"/>
      <w:r w:rsidRPr="0098223A">
        <w:rPr>
          <w:rFonts w:eastAsia="Calibri"/>
          <w:lang w:eastAsia="en-US"/>
        </w:rPr>
        <w:t>KP</w:t>
      </w:r>
      <w:r w:rsidRPr="0098223A">
        <w:rPr>
          <w:rFonts w:eastAsia="Calibri"/>
          <w:vertAlign w:val="subscript"/>
          <w:lang w:eastAsia="en-US"/>
        </w:rPr>
        <w:t>obstoječa</w:t>
      </w:r>
      <w:proofErr w:type="spellEnd"/>
      <w:r w:rsidRPr="0098223A">
        <w:rPr>
          <w:rFonts w:eastAsia="Calibri"/>
          <w:lang w:eastAsia="en-US"/>
        </w:rPr>
        <w:t xml:space="preserve"> znesek komunalnega prispevka za obstoječo komunalno opremo, ki se odmeri zavezancu.</w:t>
      </w:r>
    </w:p>
    <w:p w14:paraId="696EDE4F" w14:textId="77777777" w:rsidR="00BB469E" w:rsidRPr="0098223A" w:rsidRDefault="00BB469E" w:rsidP="00BB469E">
      <w:pPr>
        <w:numPr>
          <w:ilvl w:val="0"/>
          <w:numId w:val="13"/>
        </w:numPr>
        <w:contextualSpacing/>
        <w:jc w:val="both"/>
        <w:rPr>
          <w:rFonts w:eastAsia="Calibri"/>
          <w:lang w:eastAsia="en-US"/>
        </w:rPr>
      </w:pPr>
      <w:r w:rsidRPr="0098223A">
        <w:rPr>
          <w:rFonts w:eastAsia="Calibri"/>
          <w:lang w:eastAsia="en-US"/>
        </w:rPr>
        <w:lastRenderedPageBreak/>
        <w:t>Komunalni prispevek za obstoječo komunalno opremo, ki se odmerja zavezancu zaradi spremembe zmogljivosti, se izračuna tako, da se izračunata višin</w:t>
      </w:r>
      <w:r w:rsidR="0050680A" w:rsidRPr="0098223A">
        <w:rPr>
          <w:rFonts w:eastAsia="Calibri"/>
          <w:lang w:eastAsia="en-US"/>
        </w:rPr>
        <w:t>i</w:t>
      </w:r>
      <w:r w:rsidRPr="0098223A">
        <w:rPr>
          <w:rFonts w:eastAsia="Calibri"/>
          <w:lang w:eastAsia="en-US"/>
        </w:rPr>
        <w:t xml:space="preserve"> komunalnega prispevka za obstoječo komunalno opremo po spremembi zmogljivosti in pred spremembo zmogljivosti. Zavezancu se odmeri komunalni prispevek, ki predstavlja pozitivno razliko med komunalnim prispevkom po spremembi in pred spremembo zmogljivosti. Če je razlika negativna, se z </w:t>
      </w:r>
      <w:proofErr w:type="spellStart"/>
      <w:r w:rsidRPr="0098223A">
        <w:rPr>
          <w:rFonts w:eastAsia="Calibri"/>
          <w:lang w:eastAsia="en-US"/>
        </w:rPr>
        <w:t>odmerno</w:t>
      </w:r>
      <w:proofErr w:type="spellEnd"/>
      <w:r w:rsidRPr="0098223A">
        <w:rPr>
          <w:rFonts w:eastAsia="Calibri"/>
          <w:lang w:eastAsia="en-US"/>
        </w:rPr>
        <w:t xml:space="preserve"> odločbo ugotovi, da je komunalni prispevek za obstoječo komunalno opremo že poravnan.</w:t>
      </w:r>
    </w:p>
    <w:p w14:paraId="5D53673F" w14:textId="77777777" w:rsidR="00BB469E" w:rsidRPr="0098223A" w:rsidRDefault="00BB469E" w:rsidP="00BB469E">
      <w:pPr>
        <w:numPr>
          <w:ilvl w:val="0"/>
          <w:numId w:val="13"/>
        </w:numPr>
        <w:contextualSpacing/>
        <w:jc w:val="both"/>
        <w:rPr>
          <w:rFonts w:eastAsia="Calibri"/>
          <w:lang w:eastAsia="en-US"/>
        </w:rPr>
      </w:pPr>
      <w:r w:rsidRPr="0098223A">
        <w:rPr>
          <w:rFonts w:eastAsia="Calibri"/>
          <w:lang w:eastAsia="en-US"/>
        </w:rPr>
        <w:t>Komunalni prispevek za obstoječo komunalno opremo, ki se odmerja zavezancu zaradi spremembe namembnosti objekta, se izračuna tako, da se izračunata višin</w:t>
      </w:r>
      <w:r w:rsidR="0050680A" w:rsidRPr="0098223A">
        <w:rPr>
          <w:rFonts w:eastAsia="Calibri"/>
          <w:lang w:eastAsia="en-US"/>
        </w:rPr>
        <w:t>i</w:t>
      </w:r>
      <w:r w:rsidRPr="0098223A">
        <w:rPr>
          <w:rFonts w:eastAsia="Calibri"/>
          <w:lang w:eastAsia="en-US"/>
        </w:rPr>
        <w:t xml:space="preserve"> komunalnega prispevka za obstoječo komunalno opremo po spremembi namembnosti objekta in pred spremembo namembnosti objekta. Zavezancu se odmeri komunalni prispevek, ki predstavlja pozitivno razliko med komunalnim prispevkom po spremembi in pred spremembo namembnosti objekta. Če je razlika negativna, se z </w:t>
      </w:r>
      <w:proofErr w:type="spellStart"/>
      <w:r w:rsidRPr="0098223A">
        <w:rPr>
          <w:rFonts w:eastAsia="Calibri"/>
          <w:lang w:eastAsia="en-US"/>
        </w:rPr>
        <w:t>odmerno</w:t>
      </w:r>
      <w:proofErr w:type="spellEnd"/>
      <w:r w:rsidRPr="0098223A">
        <w:rPr>
          <w:rFonts w:eastAsia="Calibri"/>
          <w:lang w:eastAsia="en-US"/>
        </w:rPr>
        <w:t xml:space="preserve"> odločbo ugotovi, da je komunalni prispevek za obstoječo komunalno opremo že poravnan.</w:t>
      </w:r>
    </w:p>
    <w:p w14:paraId="75739ED7" w14:textId="1DBAEF82" w:rsidR="001468D1" w:rsidRPr="00D20B18" w:rsidRDefault="005A7A22" w:rsidP="00D20B18">
      <w:pPr>
        <w:numPr>
          <w:ilvl w:val="0"/>
          <w:numId w:val="13"/>
        </w:numPr>
        <w:contextualSpacing/>
        <w:jc w:val="both"/>
        <w:rPr>
          <w:rFonts w:eastAsia="Calibri"/>
          <w:lang w:eastAsia="en-US"/>
        </w:rPr>
      </w:pPr>
      <w:r w:rsidRPr="0098223A">
        <w:rPr>
          <w:rFonts w:eastAsia="Calibri"/>
          <w:lang w:eastAsia="en-US"/>
        </w:rPr>
        <w:t>Komunalni prispevek za obstoječo komunalno opremo, ki se odmerja zavezancu v primeru odstranitve objekta in gradnje novega objekta na istem zemljišču, se izračuna tako, da se izračunata višin</w:t>
      </w:r>
      <w:r w:rsidR="0050680A" w:rsidRPr="0098223A">
        <w:rPr>
          <w:rFonts w:eastAsia="Calibri"/>
          <w:lang w:eastAsia="en-US"/>
        </w:rPr>
        <w:t>i</w:t>
      </w:r>
      <w:r w:rsidRPr="0098223A">
        <w:rPr>
          <w:rFonts w:eastAsia="Calibri"/>
          <w:lang w:eastAsia="en-US"/>
        </w:rPr>
        <w:t xml:space="preserve"> komunalnega prispevka za obstoječo komunalno opremo po</w:t>
      </w:r>
      <w:r w:rsidR="00F36226" w:rsidRPr="0098223A">
        <w:rPr>
          <w:rFonts w:eastAsia="Calibri"/>
          <w:lang w:eastAsia="en-US"/>
        </w:rPr>
        <w:t xml:space="preserve"> </w:t>
      </w:r>
      <w:r w:rsidRPr="0098223A">
        <w:rPr>
          <w:rFonts w:eastAsia="Calibri"/>
          <w:lang w:eastAsia="en-US"/>
        </w:rPr>
        <w:t xml:space="preserve">gradnji novega objekta in pred odstranitvijo objekta. Zavezancu se odmeri komunalni prispevek, ki predstavlja pozitivno razliko med komunalnim prispevkom po gradnji novega objekta in pred odstranitvijo objekta. Če je razlika negativna, se z </w:t>
      </w:r>
      <w:proofErr w:type="spellStart"/>
      <w:r w:rsidRPr="0098223A">
        <w:rPr>
          <w:rFonts w:eastAsia="Calibri"/>
          <w:lang w:eastAsia="en-US"/>
        </w:rPr>
        <w:t>odmerno</w:t>
      </w:r>
      <w:proofErr w:type="spellEnd"/>
      <w:r w:rsidRPr="0098223A">
        <w:rPr>
          <w:rFonts w:eastAsia="Calibri"/>
          <w:lang w:eastAsia="en-US"/>
        </w:rPr>
        <w:t xml:space="preserve"> odločbo ugotovi, da je komunalni prispevek za obstoječo komunalno opremo že poravnan.</w:t>
      </w:r>
    </w:p>
    <w:p w14:paraId="6FA19983" w14:textId="5F14C377" w:rsidR="00B33802" w:rsidRPr="0098223A" w:rsidRDefault="00B33802">
      <w:pPr>
        <w:rPr>
          <w:rFonts w:eastAsia="Calibri"/>
          <w:b/>
          <w:bCs/>
          <w:lang w:eastAsia="en-US"/>
        </w:rPr>
      </w:pPr>
    </w:p>
    <w:p w14:paraId="258B16BA" w14:textId="77777777" w:rsidR="00BE1E16" w:rsidRPr="0098223A" w:rsidRDefault="00BE1E16" w:rsidP="00C44DC0">
      <w:pPr>
        <w:jc w:val="center"/>
        <w:rPr>
          <w:rFonts w:eastAsia="Calibri"/>
          <w:b/>
          <w:bCs/>
          <w:lang w:eastAsia="en-US"/>
        </w:rPr>
      </w:pPr>
      <w:r w:rsidRPr="0098223A">
        <w:rPr>
          <w:rFonts w:eastAsia="Calibri"/>
          <w:b/>
          <w:bCs/>
          <w:lang w:eastAsia="en-US"/>
        </w:rPr>
        <w:t>IV. OPROSTITVE KOMUNALNEGA PRISPEVKA</w:t>
      </w:r>
    </w:p>
    <w:p w14:paraId="63F392D8" w14:textId="0C228613" w:rsidR="00BE1E16" w:rsidRDefault="00BE1E16" w:rsidP="00C44DC0">
      <w:pPr>
        <w:rPr>
          <w:rFonts w:eastAsia="Calibri"/>
          <w:b/>
          <w:bCs/>
          <w:shd w:val="clear" w:color="auto" w:fill="FFFFFF"/>
          <w:lang w:eastAsia="en-US"/>
        </w:rPr>
      </w:pPr>
    </w:p>
    <w:p w14:paraId="3A70457C" w14:textId="685C74B0" w:rsidR="002679D2" w:rsidRPr="0098223A" w:rsidRDefault="002679D2" w:rsidP="002679D2">
      <w:pPr>
        <w:jc w:val="center"/>
        <w:rPr>
          <w:rFonts w:eastAsia="Calibri"/>
          <w:b/>
          <w:bCs/>
          <w:shd w:val="clear" w:color="auto" w:fill="FFFFFF"/>
          <w:lang w:eastAsia="en-US"/>
        </w:rPr>
      </w:pPr>
      <w:r w:rsidRPr="0098223A">
        <w:rPr>
          <w:rFonts w:eastAsia="Calibri"/>
          <w:b/>
          <w:bCs/>
          <w:shd w:val="clear" w:color="auto" w:fill="FFFFFF"/>
          <w:lang w:eastAsia="en-US"/>
        </w:rPr>
        <w:t>1</w:t>
      </w:r>
      <w:r>
        <w:rPr>
          <w:rFonts w:eastAsia="Calibri"/>
          <w:b/>
          <w:bCs/>
          <w:shd w:val="clear" w:color="auto" w:fill="FFFFFF"/>
          <w:lang w:eastAsia="en-US"/>
        </w:rPr>
        <w:t>2</w:t>
      </w:r>
      <w:r w:rsidRPr="0098223A">
        <w:rPr>
          <w:rFonts w:eastAsia="Calibri"/>
          <w:b/>
          <w:bCs/>
          <w:shd w:val="clear" w:color="auto" w:fill="FFFFFF"/>
          <w:lang w:eastAsia="en-US"/>
        </w:rPr>
        <w:t xml:space="preserve">. člen </w:t>
      </w:r>
    </w:p>
    <w:p w14:paraId="237E2C25" w14:textId="1B1EBB81" w:rsidR="002679D2" w:rsidRDefault="002679D2" w:rsidP="002679D2">
      <w:pPr>
        <w:jc w:val="center"/>
        <w:rPr>
          <w:rFonts w:eastAsia="Calibri"/>
          <w:b/>
          <w:bCs/>
          <w:shd w:val="clear" w:color="auto" w:fill="FFFFFF"/>
          <w:lang w:eastAsia="en-US"/>
        </w:rPr>
      </w:pPr>
      <w:r w:rsidRPr="0098223A">
        <w:rPr>
          <w:rFonts w:eastAsia="Calibri"/>
          <w:b/>
          <w:bCs/>
          <w:shd w:val="clear" w:color="auto" w:fill="FFFFFF"/>
          <w:lang w:eastAsia="en-US"/>
        </w:rPr>
        <w:t>(</w:t>
      </w:r>
      <w:r>
        <w:rPr>
          <w:rFonts w:eastAsia="Calibri"/>
          <w:b/>
          <w:bCs/>
          <w:shd w:val="clear" w:color="auto" w:fill="FFFFFF"/>
          <w:lang w:eastAsia="en-US"/>
        </w:rPr>
        <w:t xml:space="preserve">zakonske </w:t>
      </w:r>
      <w:r w:rsidRPr="0098223A">
        <w:rPr>
          <w:rFonts w:eastAsia="Calibri"/>
          <w:b/>
          <w:bCs/>
          <w:shd w:val="clear" w:color="auto" w:fill="FFFFFF"/>
          <w:lang w:eastAsia="en-US"/>
        </w:rPr>
        <w:t>oprostitve plačila komunalnega prispevka)</w:t>
      </w:r>
    </w:p>
    <w:p w14:paraId="500287DA" w14:textId="0076433C" w:rsidR="002679D2" w:rsidRDefault="002679D2" w:rsidP="00C44DC0">
      <w:pPr>
        <w:rPr>
          <w:rFonts w:eastAsia="Calibri"/>
          <w:b/>
          <w:bCs/>
          <w:shd w:val="clear" w:color="auto" w:fill="FFFFFF"/>
          <w:lang w:eastAsia="en-US"/>
        </w:rPr>
      </w:pPr>
    </w:p>
    <w:p w14:paraId="5173CF6A" w14:textId="53EAB47B" w:rsidR="00246E1E" w:rsidRDefault="00246E1E" w:rsidP="00246E1E">
      <w:pPr>
        <w:numPr>
          <w:ilvl w:val="0"/>
          <w:numId w:val="16"/>
        </w:numPr>
        <w:contextualSpacing/>
        <w:jc w:val="both"/>
        <w:rPr>
          <w:rFonts w:eastAsia="Calibri"/>
          <w:shd w:val="clear" w:color="auto" w:fill="FFFFFF"/>
          <w:lang w:eastAsia="en-US"/>
        </w:rPr>
      </w:pPr>
      <w:r w:rsidRPr="00246E1E">
        <w:rPr>
          <w:rFonts w:eastAsia="Calibri"/>
          <w:shd w:val="clear" w:color="auto" w:fill="FFFFFF"/>
          <w:lang w:eastAsia="en-US"/>
        </w:rPr>
        <w:t>Komunalni prispevek za novo in obstoječo komunalno opremo se ne plača za objekte, investitor katerih je občina ali pravna oseba javnega prava, ustanoviteljica katere je občina.</w:t>
      </w:r>
    </w:p>
    <w:p w14:paraId="6E1AC027" w14:textId="2E711618" w:rsidR="006B0280" w:rsidRPr="0098223A" w:rsidRDefault="006B0280" w:rsidP="00246E1E">
      <w:pPr>
        <w:numPr>
          <w:ilvl w:val="0"/>
          <w:numId w:val="16"/>
        </w:numPr>
        <w:contextualSpacing/>
        <w:jc w:val="both"/>
        <w:rPr>
          <w:rFonts w:eastAsia="Calibri"/>
          <w:shd w:val="clear" w:color="auto" w:fill="FFFFFF"/>
          <w:lang w:eastAsia="en-US"/>
        </w:rPr>
      </w:pPr>
      <w:r w:rsidRPr="006B0280">
        <w:rPr>
          <w:rFonts w:eastAsia="Calibri"/>
          <w:shd w:val="clear" w:color="auto" w:fill="FFFFFF"/>
          <w:lang w:eastAsia="en-US"/>
        </w:rPr>
        <w:t>Če je občina ali oseba iz prejšnjega odstavka investitor le za del objekta, se oprostitev plačila komunalnega prispevka za novo in obstoječo komunalno opremo upošteva le za ta del objekta.</w:t>
      </w:r>
    </w:p>
    <w:p w14:paraId="53FDFA2F" w14:textId="4D50C208" w:rsidR="00246E1E" w:rsidRPr="00246E1E" w:rsidRDefault="00246E1E" w:rsidP="00246E1E">
      <w:pPr>
        <w:numPr>
          <w:ilvl w:val="0"/>
          <w:numId w:val="16"/>
        </w:numPr>
        <w:contextualSpacing/>
        <w:jc w:val="both"/>
        <w:rPr>
          <w:rFonts w:eastAsia="Calibri"/>
          <w:shd w:val="clear" w:color="auto" w:fill="FFFFFF"/>
          <w:lang w:eastAsia="en-US"/>
        </w:rPr>
      </w:pPr>
      <w:r w:rsidRPr="00246E1E">
        <w:rPr>
          <w:rFonts w:eastAsia="Calibri"/>
          <w:shd w:val="clear" w:color="auto" w:fill="FFFFFF"/>
          <w:lang w:eastAsia="en-US"/>
        </w:rPr>
        <w:t>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7A7BF516" w14:textId="77777777" w:rsidR="00246E1E" w:rsidRPr="0098223A" w:rsidRDefault="00246E1E" w:rsidP="00C44DC0">
      <w:pPr>
        <w:rPr>
          <w:rFonts w:eastAsia="Calibri"/>
          <w:b/>
          <w:bCs/>
          <w:shd w:val="clear" w:color="auto" w:fill="FFFFFF"/>
          <w:lang w:eastAsia="en-US"/>
        </w:rPr>
      </w:pPr>
    </w:p>
    <w:p w14:paraId="125547EE" w14:textId="1D02BD86"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1</w:t>
      </w:r>
      <w:r w:rsidR="0036110D">
        <w:rPr>
          <w:rFonts w:eastAsia="Calibri"/>
          <w:b/>
          <w:bCs/>
          <w:shd w:val="clear" w:color="auto" w:fill="FFFFFF"/>
          <w:lang w:eastAsia="en-US"/>
        </w:rPr>
        <w:t>3</w:t>
      </w:r>
      <w:r w:rsidRPr="0098223A">
        <w:rPr>
          <w:rFonts w:eastAsia="Calibri"/>
          <w:b/>
          <w:bCs/>
          <w:shd w:val="clear" w:color="auto" w:fill="FFFFFF"/>
          <w:lang w:eastAsia="en-US"/>
        </w:rPr>
        <w:t xml:space="preserve">. člen </w:t>
      </w:r>
    </w:p>
    <w:p w14:paraId="6CB538AB" w14:textId="1FEBC33D"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w:t>
      </w:r>
      <w:r w:rsidR="00F51B86">
        <w:rPr>
          <w:rFonts w:eastAsia="Calibri"/>
          <w:b/>
          <w:bCs/>
          <w:shd w:val="clear" w:color="auto" w:fill="FFFFFF"/>
          <w:lang w:eastAsia="en-US"/>
        </w:rPr>
        <w:t xml:space="preserve">občinske </w:t>
      </w:r>
      <w:r w:rsidRPr="0098223A">
        <w:rPr>
          <w:rFonts w:eastAsia="Calibri"/>
          <w:b/>
          <w:bCs/>
          <w:shd w:val="clear" w:color="auto" w:fill="FFFFFF"/>
          <w:lang w:eastAsia="en-US"/>
        </w:rPr>
        <w:t xml:space="preserve">oprostitve plačila komunalnega prispevka) </w:t>
      </w:r>
    </w:p>
    <w:p w14:paraId="198CC2E6" w14:textId="77777777" w:rsidR="00F51B86" w:rsidRPr="004100CE" w:rsidRDefault="00F51B86" w:rsidP="00F51B86">
      <w:pPr>
        <w:rPr>
          <w:rFonts w:eastAsia="Calibri"/>
          <w:shd w:val="clear" w:color="auto" w:fill="FFFFFF"/>
          <w:lang w:eastAsia="en-US"/>
        </w:rPr>
      </w:pPr>
    </w:p>
    <w:p w14:paraId="481DBD88" w14:textId="11FD6CDE" w:rsidR="00F51B86" w:rsidRPr="004100CE" w:rsidRDefault="00F51B86" w:rsidP="00F51B86">
      <w:pPr>
        <w:pStyle w:val="Odstavekseznama"/>
        <w:numPr>
          <w:ilvl w:val="0"/>
          <w:numId w:val="12"/>
        </w:numPr>
        <w:contextualSpacing/>
        <w:jc w:val="both"/>
        <w:rPr>
          <w:rFonts w:cs="Times New Roman"/>
          <w:sz w:val="24"/>
          <w:szCs w:val="24"/>
        </w:rPr>
      </w:pPr>
      <w:r w:rsidRPr="004100CE">
        <w:rPr>
          <w:rFonts w:cs="Times New Roman"/>
          <w:sz w:val="24"/>
          <w:szCs w:val="24"/>
        </w:rPr>
        <w:t xml:space="preserve">Komunalni prispevek se ne plača za gradnjo posameznih vrst stavb oziroma delov stavb za izobraževanje in znanstvenoraziskovalno delo (CC-SI: 1263) in stavb za zdravstveno oskrbo (CC-SI: 1264) v skladu s </w:t>
      </w:r>
      <w:r w:rsidRPr="004100CE">
        <w:rPr>
          <w:rFonts w:cs="Times New Roman"/>
          <w:color w:val="auto"/>
          <w:sz w:val="24"/>
          <w:szCs w:val="24"/>
        </w:rPr>
        <w:t xml:space="preserve">predpisi, ki urejajo klasifikacijo vrst </w:t>
      </w:r>
      <w:r w:rsidRPr="004100CE">
        <w:rPr>
          <w:rFonts w:cs="Times New Roman"/>
          <w:sz w:val="24"/>
          <w:szCs w:val="24"/>
        </w:rPr>
        <w:t xml:space="preserve">objektov, katerih 100% lastnica ali investitorica je Občina </w:t>
      </w:r>
      <w:r w:rsidR="009477E9">
        <w:rPr>
          <w:rFonts w:cs="Times New Roman"/>
          <w:sz w:val="24"/>
          <w:szCs w:val="24"/>
        </w:rPr>
        <w:t>Žirovnica</w:t>
      </w:r>
      <w:r w:rsidRPr="004100CE">
        <w:rPr>
          <w:rFonts w:cs="Times New Roman"/>
          <w:sz w:val="24"/>
          <w:szCs w:val="24"/>
        </w:rPr>
        <w:t xml:space="preserve">. Če je Občina </w:t>
      </w:r>
      <w:r w:rsidR="009477E9">
        <w:rPr>
          <w:rFonts w:cs="Times New Roman"/>
          <w:sz w:val="24"/>
          <w:szCs w:val="24"/>
        </w:rPr>
        <w:t>Žirovnica</w:t>
      </w:r>
      <w:r w:rsidRPr="004100CE">
        <w:rPr>
          <w:rFonts w:cs="Times New Roman"/>
          <w:sz w:val="24"/>
          <w:szCs w:val="24"/>
        </w:rPr>
        <w:t xml:space="preserve"> lastnica ali investitorica samo dela objekta, se lahko oprostitev upošteva le za ta del objekta.</w:t>
      </w:r>
    </w:p>
    <w:p w14:paraId="7CDB4A66" w14:textId="0CC6E314" w:rsidR="00F51B86" w:rsidRPr="004100CE" w:rsidRDefault="00F51B86" w:rsidP="006F348F">
      <w:pPr>
        <w:pStyle w:val="Odstavekseznama"/>
        <w:numPr>
          <w:ilvl w:val="0"/>
          <w:numId w:val="12"/>
        </w:numPr>
        <w:shd w:val="clear" w:color="auto" w:fill="FFFFFF"/>
        <w:jc w:val="both"/>
        <w:rPr>
          <w:rFonts w:cs="Times New Roman"/>
          <w:color w:val="000000"/>
          <w:sz w:val="24"/>
          <w:szCs w:val="24"/>
        </w:rPr>
      </w:pPr>
      <w:r w:rsidRPr="004100CE">
        <w:rPr>
          <w:rFonts w:cs="Times New Roman"/>
          <w:color w:val="000000"/>
          <w:sz w:val="24"/>
          <w:szCs w:val="24"/>
        </w:rPr>
        <w:t>Komunalni prispevek se ne plača za priključitev na obstoječo komunalno opremo za gradnjo ali legalizacijo objektov, namenjenih opravljanju gasilske dejavnosti (CC-SI:  1274</w:t>
      </w:r>
      <w:r w:rsidR="00D63504">
        <w:rPr>
          <w:rFonts w:cs="Times New Roman"/>
          <w:color w:val="000000"/>
          <w:sz w:val="24"/>
          <w:szCs w:val="24"/>
        </w:rPr>
        <w:t>2</w:t>
      </w:r>
      <w:r w:rsidRPr="004100CE">
        <w:rPr>
          <w:rFonts w:cs="Times New Roman"/>
          <w:color w:val="000000"/>
          <w:sz w:val="24"/>
          <w:szCs w:val="24"/>
        </w:rPr>
        <w:t xml:space="preserve"> – gasilski domovi),</w:t>
      </w:r>
      <w:r w:rsidRPr="004100CE">
        <w:rPr>
          <w:rFonts w:cs="Times New Roman"/>
          <w:sz w:val="24"/>
          <w:szCs w:val="24"/>
        </w:rPr>
        <w:t xml:space="preserve"> </w:t>
      </w:r>
      <w:r w:rsidRPr="004100CE">
        <w:rPr>
          <w:rFonts w:cs="Times New Roman"/>
          <w:color w:val="000000"/>
          <w:sz w:val="24"/>
          <w:szCs w:val="24"/>
        </w:rPr>
        <w:t>v skladu s predpisi, ki urejajo klasifikacijo vrst objektov, pod naslednjimi pogoji:</w:t>
      </w:r>
    </w:p>
    <w:p w14:paraId="03C22711" w14:textId="45BCCF6F" w:rsidR="00F51B86" w:rsidRPr="004100CE" w:rsidRDefault="00F51B86" w:rsidP="006F348F">
      <w:pPr>
        <w:pStyle w:val="Odstavekseznama"/>
        <w:shd w:val="clear" w:color="auto" w:fill="FFFFFF"/>
        <w:ind w:left="720"/>
        <w:jc w:val="both"/>
        <w:rPr>
          <w:rFonts w:cs="Times New Roman"/>
          <w:color w:val="000000"/>
          <w:sz w:val="24"/>
          <w:szCs w:val="24"/>
        </w:rPr>
      </w:pPr>
      <w:r w:rsidRPr="004100CE">
        <w:rPr>
          <w:rFonts w:cs="Times New Roman"/>
          <w:color w:val="000000"/>
          <w:sz w:val="24"/>
          <w:szCs w:val="24"/>
        </w:rPr>
        <w:lastRenderedPageBreak/>
        <w:t xml:space="preserve">– da gre za objekte, ki so v izključni lasti prostovoljnih gasilskih društev, vključenih v </w:t>
      </w:r>
      <w:r w:rsidR="003619B3">
        <w:rPr>
          <w:rFonts w:cs="Times New Roman"/>
          <w:color w:val="000000"/>
          <w:sz w:val="24"/>
          <w:szCs w:val="24"/>
        </w:rPr>
        <w:t xml:space="preserve">lokalno </w:t>
      </w:r>
      <w:r w:rsidRPr="004100CE">
        <w:rPr>
          <w:rFonts w:cs="Times New Roman"/>
          <w:color w:val="000000"/>
          <w:sz w:val="24"/>
          <w:szCs w:val="24"/>
        </w:rPr>
        <w:t>Gasilsko zvezo</w:t>
      </w:r>
      <w:r w:rsidRPr="004100CE">
        <w:rPr>
          <w:rFonts w:cs="Times New Roman"/>
          <w:sz w:val="24"/>
          <w:szCs w:val="24"/>
        </w:rPr>
        <w:t>, in ki izvajajo javno gasilsko službo;</w:t>
      </w:r>
    </w:p>
    <w:p w14:paraId="4A615BF7" w14:textId="3B09D9A9" w:rsidR="00F51B86" w:rsidRPr="004100CE" w:rsidRDefault="00F51B86" w:rsidP="006F348F">
      <w:pPr>
        <w:pStyle w:val="Odstavekseznama"/>
        <w:shd w:val="clear" w:color="auto" w:fill="FFFFFF"/>
        <w:ind w:left="720"/>
        <w:jc w:val="both"/>
        <w:rPr>
          <w:rFonts w:cs="Times New Roman"/>
          <w:color w:val="000000"/>
          <w:sz w:val="24"/>
          <w:szCs w:val="24"/>
        </w:rPr>
      </w:pPr>
      <w:r w:rsidRPr="004100CE">
        <w:rPr>
          <w:rFonts w:cs="Times New Roman"/>
          <w:color w:val="000000"/>
          <w:sz w:val="24"/>
          <w:szCs w:val="24"/>
        </w:rPr>
        <w:t>– da gre za gradnjo objektov ali priključevanje le-teh na obstoječo komunalno opremo, katerih edini investitor je gasilsko društvo, vključeno v</w:t>
      </w:r>
      <w:r w:rsidR="003619B3">
        <w:rPr>
          <w:rFonts w:cs="Times New Roman"/>
          <w:color w:val="000000"/>
          <w:sz w:val="24"/>
          <w:szCs w:val="24"/>
        </w:rPr>
        <w:t xml:space="preserve"> lokalno</w:t>
      </w:r>
      <w:r w:rsidRPr="004100CE">
        <w:rPr>
          <w:rFonts w:cs="Times New Roman"/>
          <w:color w:val="000000"/>
          <w:sz w:val="24"/>
          <w:szCs w:val="24"/>
        </w:rPr>
        <w:t xml:space="preserve"> Gasilsko, in ki izvaja javno gasilsko službo;</w:t>
      </w:r>
    </w:p>
    <w:p w14:paraId="1411F3B1" w14:textId="77777777" w:rsidR="00F51B86" w:rsidRPr="004100CE" w:rsidRDefault="00F51B86" w:rsidP="006F348F">
      <w:pPr>
        <w:pStyle w:val="Odstavekseznama"/>
        <w:shd w:val="clear" w:color="auto" w:fill="FFFFFF"/>
        <w:ind w:left="720"/>
        <w:jc w:val="both"/>
        <w:rPr>
          <w:rFonts w:cs="Times New Roman"/>
          <w:color w:val="000000"/>
          <w:sz w:val="24"/>
          <w:szCs w:val="24"/>
        </w:rPr>
      </w:pPr>
      <w:r w:rsidRPr="004100CE">
        <w:rPr>
          <w:rFonts w:cs="Times New Roman"/>
          <w:color w:val="000000"/>
          <w:sz w:val="24"/>
          <w:szCs w:val="24"/>
        </w:rPr>
        <w:t xml:space="preserve">– da gre za izključno </w:t>
      </w:r>
      <w:proofErr w:type="spellStart"/>
      <w:r w:rsidRPr="004100CE">
        <w:rPr>
          <w:rFonts w:cs="Times New Roman"/>
          <w:color w:val="000000"/>
          <w:sz w:val="24"/>
          <w:szCs w:val="24"/>
        </w:rPr>
        <w:t>nestanovanjske</w:t>
      </w:r>
      <w:proofErr w:type="spellEnd"/>
      <w:r w:rsidRPr="004100CE">
        <w:rPr>
          <w:rFonts w:cs="Times New Roman"/>
          <w:color w:val="000000"/>
          <w:sz w:val="24"/>
          <w:szCs w:val="24"/>
        </w:rPr>
        <w:t xml:space="preserve"> objekte, namenjene opravljanju gasilske dejavnosti.</w:t>
      </w:r>
    </w:p>
    <w:p w14:paraId="2FFAF9A2" w14:textId="5A4CA56B" w:rsidR="00A43E3D" w:rsidRPr="00A43E3D" w:rsidRDefault="00F51B86" w:rsidP="006F348F">
      <w:pPr>
        <w:pStyle w:val="Odstavekseznama"/>
        <w:shd w:val="clear" w:color="auto" w:fill="FFFFFF"/>
        <w:ind w:left="720"/>
        <w:jc w:val="both"/>
        <w:rPr>
          <w:rFonts w:cs="Times New Roman"/>
          <w:color w:val="000000"/>
          <w:sz w:val="24"/>
          <w:szCs w:val="24"/>
        </w:rPr>
      </w:pPr>
      <w:r w:rsidRPr="004100CE">
        <w:rPr>
          <w:rFonts w:cs="Times New Roman"/>
          <w:color w:val="000000"/>
          <w:sz w:val="24"/>
          <w:szCs w:val="24"/>
        </w:rPr>
        <w:t>Če zavezanec uveljavlja oprostitev plačila komunalnega prispevka po tem odstavku in gre za objekt, ki v celoti ne ustreza vsem pogojem, kot so določeni v prejšnjih alinejah tega odstavka, se oprostitev plačila komunalnega prispevka prizna samo za tisti del objekta, ki izpolnjuje vse pogoje iz prejšnjih alinej tega odstavka.</w:t>
      </w:r>
    </w:p>
    <w:p w14:paraId="584CFAF7" w14:textId="1C44B87D" w:rsidR="00A43E3D" w:rsidRDefault="00A43E3D" w:rsidP="006F348F">
      <w:pPr>
        <w:pStyle w:val="Odstavekseznama"/>
        <w:numPr>
          <w:ilvl w:val="0"/>
          <w:numId w:val="12"/>
        </w:numPr>
        <w:shd w:val="clear" w:color="auto" w:fill="FFFFFF"/>
        <w:jc w:val="both"/>
        <w:rPr>
          <w:rFonts w:cs="Times New Roman"/>
          <w:color w:val="000000"/>
          <w:sz w:val="24"/>
          <w:szCs w:val="24"/>
        </w:rPr>
      </w:pPr>
      <w:r w:rsidRPr="00A43E3D">
        <w:rPr>
          <w:rFonts w:cs="Times New Roman"/>
          <w:color w:val="000000"/>
          <w:sz w:val="24"/>
          <w:szCs w:val="24"/>
        </w:rPr>
        <w:t xml:space="preserve">Komunalni prispevek za gradnjo </w:t>
      </w:r>
      <w:proofErr w:type="spellStart"/>
      <w:r w:rsidRPr="00A43E3D">
        <w:rPr>
          <w:rFonts w:cs="Times New Roman"/>
          <w:color w:val="000000"/>
          <w:sz w:val="24"/>
          <w:szCs w:val="24"/>
        </w:rPr>
        <w:t>nestanovanjskih</w:t>
      </w:r>
      <w:proofErr w:type="spellEnd"/>
      <w:r w:rsidRPr="00A43E3D">
        <w:rPr>
          <w:rFonts w:cs="Times New Roman"/>
          <w:color w:val="000000"/>
          <w:sz w:val="24"/>
          <w:szCs w:val="24"/>
        </w:rPr>
        <w:t xml:space="preserve"> kmetijskih stavb (CC-SI 1271) se oprosti v višini 50 % odmerjenega komunalnega prispevka.</w:t>
      </w:r>
    </w:p>
    <w:p w14:paraId="1A9E611F" w14:textId="4972E877" w:rsidR="00F51B86" w:rsidRPr="004100CE" w:rsidRDefault="00F51B86" w:rsidP="006F348F">
      <w:pPr>
        <w:pStyle w:val="Odstavekseznama"/>
        <w:numPr>
          <w:ilvl w:val="0"/>
          <w:numId w:val="12"/>
        </w:numPr>
        <w:shd w:val="clear" w:color="auto" w:fill="FFFFFF"/>
        <w:jc w:val="both"/>
        <w:rPr>
          <w:rFonts w:cs="Times New Roman"/>
          <w:color w:val="000000"/>
          <w:sz w:val="24"/>
          <w:szCs w:val="24"/>
        </w:rPr>
      </w:pPr>
      <w:r w:rsidRPr="004100CE">
        <w:rPr>
          <w:rFonts w:cs="Times New Roman"/>
          <w:color w:val="000000"/>
          <w:sz w:val="24"/>
          <w:szCs w:val="24"/>
        </w:rPr>
        <w:t>Občinske oprostitve plačila komunalnega prispevka, navedene v tem členu, veljajo tudi pri odmerah komunalnega prispevka zaradi izboljšanja opremljenosti stavbnega zemljišča.</w:t>
      </w:r>
    </w:p>
    <w:p w14:paraId="356EF8AB" w14:textId="173E98EB" w:rsidR="00BE1E16" w:rsidRPr="009D5104" w:rsidRDefault="00F51B86" w:rsidP="006F348F">
      <w:pPr>
        <w:numPr>
          <w:ilvl w:val="0"/>
          <w:numId w:val="12"/>
        </w:numPr>
        <w:contextualSpacing/>
        <w:jc w:val="both"/>
        <w:rPr>
          <w:rFonts w:eastAsia="Calibri"/>
          <w:shd w:val="clear" w:color="auto" w:fill="FFFFFF"/>
          <w:lang w:eastAsia="en-US"/>
        </w:rPr>
      </w:pPr>
      <w:r w:rsidRPr="009D5104">
        <w:rPr>
          <w:color w:val="000000"/>
        </w:rPr>
        <w:t xml:space="preserve">O oprostitvi plačila komunalnega prispevka odloči občinska uprava z </w:t>
      </w:r>
      <w:proofErr w:type="spellStart"/>
      <w:r w:rsidRPr="009D5104">
        <w:rPr>
          <w:color w:val="000000"/>
        </w:rPr>
        <w:t>odmerno</w:t>
      </w:r>
      <w:proofErr w:type="spellEnd"/>
      <w:r w:rsidRPr="009D5104">
        <w:rPr>
          <w:color w:val="000000"/>
        </w:rPr>
        <w:t xml:space="preserve"> odločbo.</w:t>
      </w:r>
    </w:p>
    <w:p w14:paraId="577D1A87" w14:textId="60552B0A" w:rsidR="00246E1E" w:rsidRDefault="00246E1E" w:rsidP="006F348F">
      <w:pPr>
        <w:numPr>
          <w:ilvl w:val="0"/>
          <w:numId w:val="12"/>
        </w:numPr>
        <w:contextualSpacing/>
        <w:jc w:val="both"/>
        <w:rPr>
          <w:rFonts w:eastAsia="Calibri"/>
          <w:shd w:val="clear" w:color="auto" w:fill="FFFFFF"/>
          <w:lang w:eastAsia="en-US"/>
        </w:rPr>
      </w:pPr>
      <w:r w:rsidRPr="009D5104">
        <w:rPr>
          <w:rFonts w:eastAsia="Calibri"/>
          <w:shd w:val="clear" w:color="auto" w:fill="FFFFFF"/>
          <w:lang w:eastAsia="en-US"/>
        </w:rPr>
        <w:t>Komunalni prispevek za obstoječo komunalno opremo se ne plača za gradnjo enostavnih objektov.</w:t>
      </w:r>
    </w:p>
    <w:p w14:paraId="3E60FCF8" w14:textId="4B2B539E" w:rsidR="009D5104" w:rsidRPr="009D5104" w:rsidRDefault="009D5104" w:rsidP="00F51B86">
      <w:pPr>
        <w:numPr>
          <w:ilvl w:val="0"/>
          <w:numId w:val="12"/>
        </w:numPr>
        <w:contextualSpacing/>
        <w:jc w:val="both"/>
        <w:rPr>
          <w:rFonts w:eastAsia="Calibri"/>
          <w:shd w:val="clear" w:color="auto" w:fill="FFFFFF"/>
          <w:lang w:eastAsia="en-US"/>
        </w:rPr>
      </w:pPr>
      <w:r w:rsidRPr="009D5104">
        <w:rPr>
          <w:rFonts w:eastAsia="Calibri"/>
          <w:shd w:val="clear" w:color="auto" w:fill="FFFFFF"/>
          <w:lang w:eastAsia="en-US"/>
        </w:rPr>
        <w:t xml:space="preserve">Oprostitev plačila sorazmernega dela komunalnega prispevka, ki se nanaša na že zgrajeno komunalno opremo, na katero se bo priključevala novozgrajena komunalna oprema v Obrtno poslovni coni Žirovnica, je določena kot pomoč po pravilu de </w:t>
      </w:r>
      <w:proofErr w:type="spellStart"/>
      <w:r w:rsidRPr="009D5104">
        <w:rPr>
          <w:rFonts w:eastAsia="Calibri"/>
          <w:shd w:val="clear" w:color="auto" w:fill="FFFFFF"/>
          <w:lang w:eastAsia="en-US"/>
        </w:rPr>
        <w:t>minimis</w:t>
      </w:r>
      <w:proofErr w:type="spellEnd"/>
      <w:r w:rsidRPr="009D5104">
        <w:rPr>
          <w:rFonts w:eastAsia="Calibri"/>
          <w:shd w:val="clear" w:color="auto" w:fill="FFFFFF"/>
          <w:lang w:eastAsia="en-US"/>
        </w:rPr>
        <w:t>, skladno z Uredbo Komisije (EU) št. 1407/2013. Pogoji, ki jih morajo izpolnjevati upravičenci so razvidni iz Priloge 1 tega odloka.</w:t>
      </w:r>
    </w:p>
    <w:p w14:paraId="7D467615" w14:textId="60726475" w:rsidR="00BE1E16" w:rsidRDefault="00BE1E16" w:rsidP="00C44DC0">
      <w:pPr>
        <w:jc w:val="both"/>
        <w:rPr>
          <w:rFonts w:eastAsia="Calibri"/>
          <w:shd w:val="clear" w:color="auto" w:fill="FFFFFF"/>
          <w:lang w:eastAsia="en-US"/>
        </w:rPr>
      </w:pPr>
    </w:p>
    <w:p w14:paraId="1F84C4AF" w14:textId="77777777" w:rsidR="00753997" w:rsidRPr="0098223A" w:rsidRDefault="00753997" w:rsidP="00C44DC0">
      <w:pPr>
        <w:jc w:val="both"/>
        <w:rPr>
          <w:rFonts w:eastAsia="Calibri"/>
          <w:shd w:val="clear" w:color="auto" w:fill="FFFFFF"/>
          <w:lang w:eastAsia="en-US"/>
        </w:rPr>
      </w:pPr>
    </w:p>
    <w:p w14:paraId="132D0C27" w14:textId="77777777" w:rsidR="00BE1E16" w:rsidRPr="0098223A" w:rsidRDefault="00BE1E16" w:rsidP="00C44DC0">
      <w:pPr>
        <w:jc w:val="center"/>
        <w:rPr>
          <w:rFonts w:eastAsia="Calibri"/>
          <w:b/>
          <w:bCs/>
          <w:lang w:eastAsia="en-US"/>
        </w:rPr>
      </w:pPr>
      <w:r w:rsidRPr="0098223A">
        <w:rPr>
          <w:rFonts w:eastAsia="Calibri"/>
          <w:b/>
          <w:bCs/>
          <w:lang w:eastAsia="en-US"/>
        </w:rPr>
        <w:t>V. PLAČILO KOMUNALNEGA PRISPEVKA</w:t>
      </w:r>
    </w:p>
    <w:p w14:paraId="4237E5D8" w14:textId="77777777" w:rsidR="00F63218" w:rsidRPr="0098223A" w:rsidRDefault="00F63218" w:rsidP="00C44DC0">
      <w:pPr>
        <w:jc w:val="center"/>
        <w:rPr>
          <w:rFonts w:eastAsia="Calibri"/>
          <w:b/>
          <w:bCs/>
          <w:lang w:eastAsia="en-US"/>
        </w:rPr>
      </w:pPr>
    </w:p>
    <w:p w14:paraId="757979B7" w14:textId="282EE598"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1</w:t>
      </w:r>
      <w:r w:rsidR="0036110D">
        <w:rPr>
          <w:rFonts w:eastAsia="Calibri"/>
          <w:b/>
          <w:bCs/>
          <w:shd w:val="clear" w:color="auto" w:fill="FFFFFF"/>
          <w:lang w:eastAsia="en-US"/>
        </w:rPr>
        <w:t>4</w:t>
      </w:r>
      <w:r w:rsidRPr="0098223A">
        <w:rPr>
          <w:rFonts w:eastAsia="Calibri"/>
          <w:b/>
          <w:bCs/>
          <w:shd w:val="clear" w:color="auto" w:fill="FFFFFF"/>
          <w:lang w:eastAsia="en-US"/>
        </w:rPr>
        <w:t>. člen</w:t>
      </w:r>
    </w:p>
    <w:p w14:paraId="503F510C" w14:textId="77777777"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(odmera in plačilo komunalnega prispevka)</w:t>
      </w:r>
    </w:p>
    <w:p w14:paraId="28152508" w14:textId="77777777" w:rsidR="00BE1E16" w:rsidRPr="0098223A" w:rsidRDefault="00BE1E16" w:rsidP="00C44DC0">
      <w:pPr>
        <w:jc w:val="both"/>
        <w:rPr>
          <w:rFonts w:eastAsia="Calibri"/>
          <w:shd w:val="clear" w:color="auto" w:fill="FFFFFF"/>
          <w:lang w:eastAsia="en-US"/>
        </w:rPr>
      </w:pPr>
    </w:p>
    <w:p w14:paraId="76A1CE43" w14:textId="496E78DE" w:rsidR="007E4EB6" w:rsidRPr="007E4EB6" w:rsidRDefault="00BE1E16" w:rsidP="007E4EB6">
      <w:pPr>
        <w:numPr>
          <w:ilvl w:val="0"/>
          <w:numId w:val="17"/>
        </w:numPr>
        <w:contextualSpacing/>
        <w:jc w:val="both"/>
        <w:rPr>
          <w:rFonts w:eastAsia="Calibri"/>
          <w:shd w:val="clear" w:color="auto" w:fill="FFFFFF"/>
          <w:lang w:eastAsia="en-US"/>
        </w:rPr>
      </w:pPr>
      <w:r w:rsidRPr="0098223A">
        <w:rPr>
          <w:rFonts w:eastAsia="Calibri"/>
          <w:shd w:val="clear" w:color="auto" w:fill="FFFFFF"/>
          <w:lang w:eastAsia="en-US"/>
        </w:rPr>
        <w:t xml:space="preserve">Komunalni prispevek za obstoječo komunalno opremo se odmeri z </w:t>
      </w:r>
      <w:proofErr w:type="spellStart"/>
      <w:r w:rsidRPr="0098223A">
        <w:rPr>
          <w:rFonts w:eastAsia="Calibri"/>
          <w:shd w:val="clear" w:color="auto" w:fill="FFFFFF"/>
          <w:lang w:eastAsia="en-US"/>
        </w:rPr>
        <w:t>odmerno</w:t>
      </w:r>
      <w:proofErr w:type="spellEnd"/>
      <w:r w:rsidRPr="0098223A">
        <w:rPr>
          <w:rFonts w:eastAsia="Calibri"/>
          <w:shd w:val="clear" w:color="auto" w:fill="FFFFFF"/>
          <w:lang w:eastAsia="en-US"/>
        </w:rPr>
        <w:t xml:space="preserve"> odločbo. Odločbo o odmeri komunalnega prispevka izda občinska uprava na zahtevo zavezanca ali</w:t>
      </w:r>
      <w:r w:rsidR="00A127F3" w:rsidRPr="0098223A">
        <w:rPr>
          <w:rFonts w:eastAsia="Calibri"/>
          <w:shd w:val="clear" w:color="auto" w:fill="FFFFFF"/>
          <w:lang w:eastAsia="en-US"/>
        </w:rPr>
        <w:t xml:space="preserve"> </w:t>
      </w:r>
      <w:r w:rsidR="0050680A" w:rsidRPr="0098223A">
        <w:rPr>
          <w:rFonts w:eastAsia="Calibri"/>
          <w:shd w:val="clear" w:color="auto" w:fill="FFFFFF"/>
          <w:lang w:eastAsia="en-US"/>
        </w:rPr>
        <w:t>upravne enote v zavezančevem imenu</w:t>
      </w:r>
      <w:r w:rsidRPr="0098223A">
        <w:rPr>
          <w:rFonts w:eastAsia="Calibri"/>
          <w:shd w:val="clear" w:color="auto" w:fill="FFFFFF"/>
          <w:lang w:eastAsia="en-US"/>
        </w:rPr>
        <w:t>.</w:t>
      </w:r>
      <w:r w:rsidR="007E4EB6" w:rsidRPr="007E4EB6">
        <w:t xml:space="preserve"> </w:t>
      </w:r>
      <w:r w:rsidR="007E4EB6" w:rsidRPr="007E4EB6">
        <w:rPr>
          <w:rFonts w:eastAsia="Calibri"/>
          <w:shd w:val="clear" w:color="auto" w:fill="FFFFFF"/>
          <w:lang w:eastAsia="en-US"/>
        </w:rPr>
        <w:t>Iz dokumentacije, priložene k vlogi za odmero komunalnega prispevka, morajo biti razvidni podatki:</w:t>
      </w:r>
    </w:p>
    <w:p w14:paraId="3872D42E" w14:textId="6CBAE63C" w:rsidR="007E4EB6" w:rsidRPr="007E4EB6" w:rsidRDefault="007E4EB6" w:rsidP="004462DB">
      <w:pPr>
        <w:ind w:left="720"/>
        <w:contextualSpacing/>
        <w:jc w:val="both"/>
        <w:rPr>
          <w:rFonts w:eastAsia="Calibri"/>
          <w:shd w:val="clear" w:color="auto" w:fill="FFFFFF"/>
          <w:lang w:eastAsia="en-US"/>
        </w:rPr>
      </w:pPr>
      <w:r w:rsidRPr="007E4EB6">
        <w:rPr>
          <w:rFonts w:eastAsia="Calibri"/>
          <w:shd w:val="clear" w:color="auto" w:fill="FFFFFF"/>
          <w:lang w:eastAsia="en-US"/>
        </w:rPr>
        <w:t xml:space="preserve">- </w:t>
      </w:r>
      <w:r>
        <w:rPr>
          <w:rFonts w:eastAsia="Calibri"/>
          <w:shd w:val="clear" w:color="auto" w:fill="FFFFFF"/>
          <w:lang w:eastAsia="en-US"/>
        </w:rPr>
        <w:t>bruto</w:t>
      </w:r>
      <w:r w:rsidRPr="007E4EB6">
        <w:rPr>
          <w:rFonts w:eastAsia="Calibri"/>
          <w:shd w:val="clear" w:color="auto" w:fill="FFFFFF"/>
          <w:lang w:eastAsia="en-US"/>
        </w:rPr>
        <w:t xml:space="preserve"> tlorisna površina objekta (m</w:t>
      </w:r>
      <w:r w:rsidRPr="004462DB">
        <w:rPr>
          <w:rFonts w:eastAsia="Calibri"/>
          <w:shd w:val="clear" w:color="auto" w:fill="FFFFFF"/>
          <w:vertAlign w:val="superscript"/>
          <w:lang w:eastAsia="en-US"/>
        </w:rPr>
        <w:t>2</w:t>
      </w:r>
      <w:r w:rsidRPr="007E4EB6">
        <w:rPr>
          <w:rFonts w:eastAsia="Calibri"/>
          <w:shd w:val="clear" w:color="auto" w:fill="FFFFFF"/>
          <w:lang w:eastAsia="en-US"/>
        </w:rPr>
        <w:t xml:space="preserve">); </w:t>
      </w:r>
    </w:p>
    <w:p w14:paraId="2842BBA9" w14:textId="4773063C" w:rsidR="007E4EB6" w:rsidRPr="007E4EB6" w:rsidRDefault="007E4EB6" w:rsidP="0013175E">
      <w:pPr>
        <w:ind w:left="720"/>
        <w:contextualSpacing/>
        <w:jc w:val="both"/>
        <w:rPr>
          <w:rFonts w:eastAsia="Calibri"/>
          <w:shd w:val="clear" w:color="auto" w:fill="FFFFFF"/>
          <w:lang w:eastAsia="en-US"/>
        </w:rPr>
      </w:pPr>
      <w:r w:rsidRPr="007E4EB6">
        <w:rPr>
          <w:rFonts w:eastAsia="Calibri"/>
          <w:shd w:val="clear" w:color="auto" w:fill="FFFFFF"/>
          <w:lang w:eastAsia="en-US"/>
        </w:rPr>
        <w:t>- grafični zaris in površina (m</w:t>
      </w:r>
      <w:r w:rsidRPr="004462DB">
        <w:rPr>
          <w:rFonts w:eastAsia="Calibri"/>
          <w:shd w:val="clear" w:color="auto" w:fill="FFFFFF"/>
          <w:vertAlign w:val="superscript"/>
          <w:lang w:eastAsia="en-US"/>
        </w:rPr>
        <w:t>2</w:t>
      </w:r>
      <w:r w:rsidRPr="007E4EB6">
        <w:rPr>
          <w:rFonts w:eastAsia="Calibri"/>
          <w:shd w:val="clear" w:color="auto" w:fill="FFFFFF"/>
          <w:lang w:eastAsia="en-US"/>
        </w:rPr>
        <w:t>) parcele objekta (gradbena parcela objekta); če površina gradbene parcele iz priložene dokumentacije ni razvidna, se pri odmeri komunalnega prispevka upošteva površina gradbene parcele objekta iz veljavnega prostorsko izvedbenega akta. Če površine gradbene parcele objekta ni mogoče pridobiti na način iz prejšnjega stavka, se</w:t>
      </w:r>
      <w:r w:rsidR="0013175E">
        <w:rPr>
          <w:rFonts w:eastAsia="Calibri"/>
          <w:shd w:val="clear" w:color="auto" w:fill="FFFFFF"/>
          <w:lang w:eastAsia="en-US"/>
        </w:rPr>
        <w:t xml:space="preserve"> jo določi na način iz 8. člena tega odloka</w:t>
      </w:r>
      <w:r w:rsidRPr="007E4EB6">
        <w:rPr>
          <w:rFonts w:eastAsia="Calibri"/>
          <w:shd w:val="clear" w:color="auto" w:fill="FFFFFF"/>
          <w:lang w:eastAsia="en-US"/>
        </w:rPr>
        <w:t>;</w:t>
      </w:r>
    </w:p>
    <w:p w14:paraId="2325F8CB" w14:textId="77777777" w:rsidR="007E4EB6" w:rsidRPr="007E4EB6" w:rsidRDefault="007E4EB6" w:rsidP="004462DB">
      <w:pPr>
        <w:ind w:left="720"/>
        <w:contextualSpacing/>
        <w:jc w:val="both"/>
        <w:rPr>
          <w:rFonts w:eastAsia="Calibri"/>
          <w:shd w:val="clear" w:color="auto" w:fill="FFFFFF"/>
          <w:lang w:eastAsia="en-US"/>
        </w:rPr>
      </w:pPr>
      <w:r w:rsidRPr="007E4EB6">
        <w:rPr>
          <w:rFonts w:eastAsia="Calibri"/>
          <w:shd w:val="clear" w:color="auto" w:fill="FFFFFF"/>
          <w:lang w:eastAsia="en-US"/>
        </w:rPr>
        <w:t>- klasifikacija vrst objektov CC-SI za vse objekte, ki so predmet obravnave v postopku odmere komunalnega prispevka;</w:t>
      </w:r>
    </w:p>
    <w:p w14:paraId="02C658A5" w14:textId="77777777" w:rsidR="007E4EB6" w:rsidRPr="007E4EB6" w:rsidRDefault="007E4EB6" w:rsidP="004462DB">
      <w:pPr>
        <w:ind w:left="720"/>
        <w:contextualSpacing/>
        <w:jc w:val="both"/>
        <w:rPr>
          <w:rFonts w:eastAsia="Calibri"/>
          <w:shd w:val="clear" w:color="auto" w:fill="FFFFFF"/>
          <w:lang w:eastAsia="en-US"/>
        </w:rPr>
      </w:pPr>
      <w:r w:rsidRPr="007E4EB6">
        <w:rPr>
          <w:rFonts w:eastAsia="Calibri"/>
          <w:shd w:val="clear" w:color="auto" w:fill="FFFFFF"/>
          <w:lang w:eastAsia="en-US"/>
        </w:rPr>
        <w:t xml:space="preserve">- podatki o </w:t>
      </w:r>
      <w:proofErr w:type="spellStart"/>
      <w:r w:rsidRPr="007E4EB6">
        <w:rPr>
          <w:rFonts w:eastAsia="Calibri"/>
          <w:shd w:val="clear" w:color="auto" w:fill="FFFFFF"/>
          <w:lang w:eastAsia="en-US"/>
        </w:rPr>
        <w:t>priključenosti</w:t>
      </w:r>
      <w:proofErr w:type="spellEnd"/>
      <w:r w:rsidRPr="007E4EB6">
        <w:rPr>
          <w:rFonts w:eastAsia="Calibri"/>
          <w:shd w:val="clear" w:color="auto" w:fill="FFFFFF"/>
          <w:lang w:eastAsia="en-US"/>
        </w:rPr>
        <w:t xml:space="preserve"> objekta na komunalno opremo, vključno z grafičnim prikazom lokacije priključkov na komunalno opremo in s priloženimi pridobljenimi mnenji upravljavcev posamezne komunalne opreme;</w:t>
      </w:r>
    </w:p>
    <w:p w14:paraId="4E3A7E6B" w14:textId="0E435DB4" w:rsidR="00BE1E16" w:rsidRPr="0098223A" w:rsidRDefault="007E4EB6" w:rsidP="004462DB">
      <w:pPr>
        <w:ind w:left="720"/>
        <w:contextualSpacing/>
        <w:jc w:val="both"/>
        <w:rPr>
          <w:rFonts w:eastAsia="Calibri"/>
          <w:shd w:val="clear" w:color="auto" w:fill="FFFFFF"/>
          <w:lang w:eastAsia="en-US"/>
        </w:rPr>
      </w:pPr>
      <w:r w:rsidRPr="007E4EB6">
        <w:rPr>
          <w:rFonts w:eastAsia="Calibri"/>
          <w:shd w:val="clear" w:color="auto" w:fill="FFFFFF"/>
          <w:lang w:eastAsia="en-US"/>
        </w:rPr>
        <w:t>- v primeru, da se na isti gradbeni parceli objekta nahaja že več obstoječih objektov, je potrebno izkazati legalnost obstoječih objektov skladno z zakonodajo s področja graditve objektov.</w:t>
      </w:r>
    </w:p>
    <w:p w14:paraId="3510B8E5" w14:textId="4EAF2BF6" w:rsidR="00BE1E16" w:rsidRPr="0098223A" w:rsidRDefault="00BE1E16" w:rsidP="00B61C69">
      <w:pPr>
        <w:numPr>
          <w:ilvl w:val="0"/>
          <w:numId w:val="17"/>
        </w:numPr>
        <w:contextualSpacing/>
        <w:jc w:val="both"/>
        <w:rPr>
          <w:rFonts w:eastAsia="Calibri"/>
          <w:shd w:val="clear" w:color="auto" w:fill="FFFFFF"/>
          <w:lang w:eastAsia="en-US"/>
        </w:rPr>
      </w:pPr>
      <w:r w:rsidRPr="0098223A">
        <w:rPr>
          <w:rFonts w:eastAsia="Calibri"/>
          <w:shd w:val="clear" w:color="auto" w:fill="FFFFFF"/>
          <w:lang w:eastAsia="en-US"/>
        </w:rPr>
        <w:t xml:space="preserve">Komunalni prispevek zaradi izboljšanja opremljenosti se odmeri, če se zemljišče opremi z dodatno vrsto komunalne opreme, na katero se obstoječi objekt doslej ni mogel priključiti oziroma mu ni bila omogočena njena uporaba. Odločbo o odmeri </w:t>
      </w:r>
      <w:r w:rsidRPr="0098223A">
        <w:rPr>
          <w:rFonts w:eastAsia="Calibri"/>
          <w:shd w:val="clear" w:color="auto" w:fill="FFFFFF"/>
          <w:lang w:eastAsia="en-US"/>
        </w:rPr>
        <w:lastRenderedPageBreak/>
        <w:t>komunalnega prispevka zaradi izboljšanja opremljenosti izda občinska uprava po uradni dolžnosti.</w:t>
      </w:r>
      <w:r w:rsidR="007F7DE3">
        <w:rPr>
          <w:rFonts w:eastAsia="Calibri"/>
          <w:shd w:val="clear" w:color="auto" w:fill="FFFFFF"/>
          <w:lang w:eastAsia="en-US"/>
        </w:rPr>
        <w:t xml:space="preserve"> </w:t>
      </w:r>
      <w:r w:rsidR="007F7DE3" w:rsidRPr="007F7DE3">
        <w:rPr>
          <w:rFonts w:eastAsia="Calibri"/>
          <w:shd w:val="clear" w:color="auto" w:fill="FFFFFF"/>
          <w:lang w:eastAsia="en-US"/>
        </w:rPr>
        <w:t>V primeru odmere komunalnega prispevka po uradni dolžnosti lahko občina</w:t>
      </w:r>
      <w:r w:rsidR="0049239F">
        <w:rPr>
          <w:rFonts w:eastAsia="Calibri"/>
          <w:shd w:val="clear" w:color="auto" w:fill="FFFFFF"/>
          <w:lang w:eastAsia="en-US"/>
        </w:rPr>
        <w:t>,</w:t>
      </w:r>
      <w:r w:rsidR="007F7DE3" w:rsidRPr="007F7DE3">
        <w:rPr>
          <w:rFonts w:eastAsia="Calibri"/>
          <w:shd w:val="clear" w:color="auto" w:fill="FFFFFF"/>
          <w:lang w:eastAsia="en-US"/>
        </w:rPr>
        <w:t xml:space="preserve"> </w:t>
      </w:r>
      <w:r w:rsidR="0049239F">
        <w:rPr>
          <w:rFonts w:eastAsia="Calibri"/>
          <w:shd w:val="clear" w:color="auto" w:fill="FFFFFF"/>
          <w:lang w:eastAsia="en-US"/>
        </w:rPr>
        <w:t xml:space="preserve">na zahtevo zavezanca, </w:t>
      </w:r>
      <w:r w:rsidR="007F7DE3" w:rsidRPr="007F7DE3">
        <w:rPr>
          <w:rFonts w:eastAsia="Calibri"/>
          <w:shd w:val="clear" w:color="auto" w:fill="FFFFFF"/>
          <w:lang w:eastAsia="en-US"/>
        </w:rPr>
        <w:t>dovoli obročno odplačevanje komunalnega prispevka, in sicer v največ 24 obrokih, pri tem pa znesek obroka ne sme biti nižji od 30 EUR.</w:t>
      </w:r>
    </w:p>
    <w:p w14:paraId="5D9203DA" w14:textId="77777777" w:rsidR="00BE1E16" w:rsidRPr="0098223A" w:rsidRDefault="00BE1E16" w:rsidP="00B61C69">
      <w:pPr>
        <w:numPr>
          <w:ilvl w:val="0"/>
          <w:numId w:val="17"/>
        </w:numPr>
        <w:ind w:left="714" w:hanging="357"/>
        <w:contextualSpacing/>
        <w:jc w:val="both"/>
        <w:rPr>
          <w:rFonts w:eastAsia="Calibri"/>
          <w:shd w:val="clear" w:color="auto" w:fill="FFFFFF"/>
          <w:lang w:eastAsia="en-US"/>
        </w:rPr>
      </w:pPr>
      <w:r w:rsidRPr="0098223A">
        <w:rPr>
          <w:rFonts w:eastAsia="Calibri"/>
          <w:shd w:val="clear" w:color="auto" w:fill="FFFFFF"/>
          <w:lang w:eastAsia="en-US"/>
        </w:rPr>
        <w:t>Če se objekt na obstoječo komunalno opremo priključuje posredno prek nove komunalne opreme iz programa opremljanja ali prek nove komunalne opreme iz pogodbe o opremljanju, za katero program opremljanja ni sprejet, se posamezna vrsta komunalne opreme določi na podlagi programa opremljanja oziroma pogodbe o opremljanju.</w:t>
      </w:r>
    </w:p>
    <w:p w14:paraId="243AD736" w14:textId="3EB2475E" w:rsidR="00F40DC9" w:rsidRPr="0049239F" w:rsidRDefault="00514A0C" w:rsidP="0049239F">
      <w:pPr>
        <w:numPr>
          <w:ilvl w:val="0"/>
          <w:numId w:val="17"/>
        </w:numPr>
        <w:ind w:left="714" w:hanging="357"/>
        <w:contextualSpacing/>
        <w:jc w:val="both"/>
        <w:rPr>
          <w:rFonts w:eastAsia="Calibri"/>
          <w:shd w:val="clear" w:color="auto" w:fill="FFFFFF"/>
          <w:lang w:eastAsia="en-US"/>
        </w:rPr>
      </w:pPr>
      <w:r w:rsidRPr="0049239F">
        <w:rPr>
          <w:rFonts w:eastAsia="Calibri"/>
          <w:shd w:val="clear" w:color="auto" w:fill="FFFFFF"/>
          <w:lang w:eastAsia="en-US"/>
        </w:rPr>
        <w:t>Rok za plačilo</w:t>
      </w:r>
      <w:r w:rsidR="00BE1E16" w:rsidRPr="0049239F">
        <w:rPr>
          <w:rFonts w:eastAsia="Calibri"/>
          <w:shd w:val="clear" w:color="auto" w:fill="FFFFFF"/>
          <w:lang w:eastAsia="en-US"/>
        </w:rPr>
        <w:t xml:space="preserve"> komunaln</w:t>
      </w:r>
      <w:r w:rsidRPr="0049239F">
        <w:rPr>
          <w:rFonts w:eastAsia="Calibri"/>
          <w:shd w:val="clear" w:color="auto" w:fill="FFFFFF"/>
          <w:lang w:eastAsia="en-US"/>
        </w:rPr>
        <w:t>ega</w:t>
      </w:r>
      <w:r w:rsidR="00BE1E16" w:rsidRPr="0049239F">
        <w:rPr>
          <w:rFonts w:eastAsia="Calibri"/>
          <w:shd w:val="clear" w:color="auto" w:fill="FFFFFF"/>
          <w:lang w:eastAsia="en-US"/>
        </w:rPr>
        <w:t xml:space="preserve"> prispev</w:t>
      </w:r>
      <w:r w:rsidRPr="0049239F">
        <w:rPr>
          <w:rFonts w:eastAsia="Calibri"/>
          <w:shd w:val="clear" w:color="auto" w:fill="FFFFFF"/>
          <w:lang w:eastAsia="en-US"/>
        </w:rPr>
        <w:t>ka je</w:t>
      </w:r>
      <w:r w:rsidR="008B2E30" w:rsidRPr="0049239F">
        <w:rPr>
          <w:rFonts w:eastAsia="Calibri"/>
          <w:shd w:val="clear" w:color="auto" w:fill="FFFFFF"/>
          <w:lang w:eastAsia="en-US"/>
        </w:rPr>
        <w:t xml:space="preserve"> </w:t>
      </w:r>
      <w:r w:rsidR="0049239F" w:rsidRPr="0049239F">
        <w:rPr>
          <w:rFonts w:eastAsia="Calibri"/>
          <w:shd w:val="clear" w:color="auto" w:fill="FFFFFF"/>
          <w:lang w:eastAsia="en-US"/>
        </w:rPr>
        <w:t>1</w:t>
      </w:r>
      <w:r w:rsidRPr="0049239F">
        <w:rPr>
          <w:rFonts w:eastAsia="Calibri"/>
          <w:shd w:val="clear" w:color="auto" w:fill="FFFFFF"/>
          <w:lang w:eastAsia="en-US"/>
        </w:rPr>
        <w:t xml:space="preserve">5 </w:t>
      </w:r>
      <w:r w:rsidR="00BE1E16" w:rsidRPr="0049239F">
        <w:rPr>
          <w:rFonts w:eastAsia="Calibri"/>
          <w:shd w:val="clear" w:color="auto" w:fill="FFFFFF"/>
          <w:lang w:eastAsia="en-US"/>
        </w:rPr>
        <w:t>dn</w:t>
      </w:r>
      <w:r w:rsidRPr="0049239F">
        <w:rPr>
          <w:rFonts w:eastAsia="Calibri"/>
          <w:shd w:val="clear" w:color="auto" w:fill="FFFFFF"/>
          <w:lang w:eastAsia="en-US"/>
        </w:rPr>
        <w:t xml:space="preserve">i po dokončnosti </w:t>
      </w:r>
      <w:proofErr w:type="spellStart"/>
      <w:r w:rsidRPr="0049239F">
        <w:rPr>
          <w:rFonts w:eastAsia="Calibri"/>
          <w:shd w:val="clear" w:color="auto" w:fill="FFFFFF"/>
          <w:lang w:eastAsia="en-US"/>
        </w:rPr>
        <w:t>odmerne</w:t>
      </w:r>
      <w:proofErr w:type="spellEnd"/>
      <w:r w:rsidRPr="0049239F">
        <w:rPr>
          <w:rFonts w:eastAsia="Calibri"/>
          <w:shd w:val="clear" w:color="auto" w:fill="FFFFFF"/>
          <w:lang w:eastAsia="en-US"/>
        </w:rPr>
        <w:t xml:space="preserve"> odločbe</w:t>
      </w:r>
      <w:r w:rsidR="00C57242" w:rsidRPr="0049239F">
        <w:rPr>
          <w:rFonts w:eastAsia="Calibri"/>
          <w:shd w:val="clear" w:color="auto" w:fill="FFFFFF"/>
          <w:lang w:eastAsia="en-US"/>
        </w:rPr>
        <w:t xml:space="preserve"> </w:t>
      </w:r>
      <w:r w:rsidR="00BE1E16" w:rsidRPr="0049239F">
        <w:rPr>
          <w:rFonts w:eastAsia="Calibri"/>
          <w:shd w:val="clear" w:color="auto" w:fill="FFFFFF"/>
          <w:lang w:eastAsia="en-US"/>
        </w:rPr>
        <w:t>oziroma pred izdajo gradbenega dovoljenja.</w:t>
      </w:r>
    </w:p>
    <w:p w14:paraId="31AA414A" w14:textId="5957CAE3" w:rsidR="00BE1E16" w:rsidRDefault="00BE1E16" w:rsidP="00C44DC0">
      <w:pPr>
        <w:jc w:val="center"/>
        <w:rPr>
          <w:rFonts w:eastAsia="Calibri"/>
          <w:b/>
          <w:lang w:eastAsia="en-US"/>
        </w:rPr>
      </w:pPr>
      <w:bookmarkStart w:id="2" w:name="_Hlk59106191"/>
    </w:p>
    <w:p w14:paraId="180F3A9D" w14:textId="1B484BD7" w:rsidR="008F7FF3" w:rsidRDefault="008F7FF3" w:rsidP="00C44DC0">
      <w:pPr>
        <w:jc w:val="center"/>
        <w:rPr>
          <w:rFonts w:eastAsia="Calibri"/>
          <w:b/>
          <w:lang w:eastAsia="en-US"/>
        </w:rPr>
      </w:pPr>
    </w:p>
    <w:p w14:paraId="3F92306D" w14:textId="782B7E13" w:rsidR="008F7FF3" w:rsidRDefault="008F7FF3" w:rsidP="00C44DC0">
      <w:pPr>
        <w:jc w:val="center"/>
        <w:rPr>
          <w:rFonts w:eastAsia="Calibri"/>
          <w:b/>
          <w:lang w:eastAsia="en-US"/>
        </w:rPr>
      </w:pPr>
      <w:r w:rsidRPr="0098223A">
        <w:rPr>
          <w:rFonts w:eastAsia="Calibri"/>
          <w:b/>
          <w:bCs/>
          <w:lang w:eastAsia="en-US"/>
        </w:rPr>
        <w:t xml:space="preserve">VI. </w:t>
      </w:r>
      <w:r>
        <w:rPr>
          <w:rFonts w:eastAsia="Calibri"/>
          <w:b/>
          <w:bCs/>
          <w:lang w:eastAsia="en-US"/>
        </w:rPr>
        <w:t>PRETEKLA VLAGANJA</w:t>
      </w:r>
    </w:p>
    <w:p w14:paraId="040C219E" w14:textId="2CC2FD51" w:rsidR="00753997" w:rsidRDefault="00753997" w:rsidP="00C44DC0">
      <w:pPr>
        <w:jc w:val="center"/>
        <w:rPr>
          <w:rFonts w:eastAsia="Calibri"/>
          <w:b/>
          <w:lang w:eastAsia="en-US"/>
        </w:rPr>
      </w:pPr>
    </w:p>
    <w:p w14:paraId="0136A2F2" w14:textId="594ED7BB" w:rsidR="00FB76C2" w:rsidRDefault="00FB76C2" w:rsidP="00FB76C2">
      <w:pPr>
        <w:jc w:val="center"/>
        <w:rPr>
          <w:rFonts w:asciiTheme="majorHAnsi" w:hAnsiTheme="majorHAnsi" w:cstheme="majorHAnsi"/>
          <w:b/>
          <w:bCs/>
          <w:color w:val="000000"/>
        </w:rPr>
      </w:pPr>
      <w:r w:rsidRPr="0098223A">
        <w:rPr>
          <w:rFonts w:eastAsia="Calibri"/>
          <w:b/>
          <w:bCs/>
          <w:shd w:val="clear" w:color="auto" w:fill="FFFFFF"/>
          <w:lang w:eastAsia="en-US"/>
        </w:rPr>
        <w:t>1</w:t>
      </w:r>
      <w:r>
        <w:rPr>
          <w:rFonts w:eastAsia="Calibri"/>
          <w:b/>
          <w:bCs/>
          <w:shd w:val="clear" w:color="auto" w:fill="FFFFFF"/>
          <w:lang w:eastAsia="en-US"/>
        </w:rPr>
        <w:t>5</w:t>
      </w:r>
      <w:r w:rsidRPr="0098223A">
        <w:rPr>
          <w:rFonts w:eastAsia="Calibri"/>
          <w:b/>
          <w:bCs/>
          <w:shd w:val="clear" w:color="auto" w:fill="FFFFFF"/>
          <w:lang w:eastAsia="en-US"/>
        </w:rPr>
        <w:t>. člen</w:t>
      </w:r>
      <w:r w:rsidRPr="000D231D">
        <w:rPr>
          <w:rFonts w:asciiTheme="majorHAnsi" w:hAnsiTheme="majorHAnsi" w:cstheme="majorHAnsi"/>
          <w:b/>
          <w:bCs/>
          <w:color w:val="000000"/>
        </w:rPr>
        <w:br/>
        <w:t>(</w:t>
      </w:r>
      <w:r>
        <w:rPr>
          <w:rFonts w:asciiTheme="majorHAnsi" w:hAnsiTheme="majorHAnsi" w:cstheme="majorHAnsi"/>
          <w:b/>
          <w:bCs/>
          <w:color w:val="000000"/>
        </w:rPr>
        <w:t>pretekla</w:t>
      </w:r>
      <w:r w:rsidRPr="000D231D">
        <w:rPr>
          <w:rFonts w:asciiTheme="majorHAnsi" w:hAnsiTheme="majorHAnsi" w:cstheme="majorHAnsi"/>
          <w:b/>
          <w:bCs/>
          <w:color w:val="000000"/>
        </w:rPr>
        <w:t xml:space="preserve"> vlaganja</w:t>
      </w:r>
      <w:r w:rsidR="00281CE1">
        <w:rPr>
          <w:rFonts w:asciiTheme="majorHAnsi" w:hAnsiTheme="majorHAnsi" w:cstheme="majorHAnsi"/>
          <w:b/>
          <w:bCs/>
          <w:color w:val="000000"/>
        </w:rPr>
        <w:t xml:space="preserve"> in </w:t>
      </w:r>
      <w:r w:rsidR="00281CE1" w:rsidRPr="00281CE1">
        <w:rPr>
          <w:rFonts w:asciiTheme="majorHAnsi" w:hAnsiTheme="majorHAnsi" w:cstheme="majorHAnsi"/>
          <w:b/>
          <w:bCs/>
          <w:color w:val="000000"/>
        </w:rPr>
        <w:t>že poravnan</w:t>
      </w:r>
      <w:r w:rsidR="00281CE1">
        <w:rPr>
          <w:rFonts w:asciiTheme="majorHAnsi" w:hAnsiTheme="majorHAnsi" w:cstheme="majorHAnsi"/>
          <w:b/>
          <w:bCs/>
          <w:color w:val="000000"/>
        </w:rPr>
        <w:t>e</w:t>
      </w:r>
      <w:r w:rsidR="00281CE1" w:rsidRPr="00281CE1">
        <w:rPr>
          <w:rFonts w:asciiTheme="majorHAnsi" w:hAnsiTheme="majorHAnsi" w:cstheme="majorHAnsi"/>
          <w:b/>
          <w:bCs/>
          <w:color w:val="000000"/>
        </w:rPr>
        <w:t xml:space="preserve"> obveznosti plačila komunalnega prispevka</w:t>
      </w:r>
      <w:r w:rsidRPr="000D231D">
        <w:rPr>
          <w:rFonts w:asciiTheme="majorHAnsi" w:hAnsiTheme="majorHAnsi" w:cstheme="majorHAnsi"/>
          <w:b/>
          <w:bCs/>
          <w:color w:val="000000"/>
        </w:rPr>
        <w:t>)</w:t>
      </w:r>
    </w:p>
    <w:p w14:paraId="616EB3E3" w14:textId="77777777" w:rsidR="00FB76C2" w:rsidRDefault="00FB76C2" w:rsidP="00FB76C2">
      <w:pPr>
        <w:jc w:val="center"/>
        <w:rPr>
          <w:rFonts w:asciiTheme="majorHAnsi" w:hAnsiTheme="majorHAnsi" w:cstheme="majorHAnsi"/>
          <w:b/>
          <w:bCs/>
          <w:color w:val="000000"/>
        </w:rPr>
      </w:pPr>
    </w:p>
    <w:p w14:paraId="2815D104" w14:textId="77777777" w:rsidR="00FB76C2" w:rsidRPr="00FB76C2" w:rsidRDefault="00FB76C2" w:rsidP="00FB76C2">
      <w:pPr>
        <w:pStyle w:val="Odstavekseznama"/>
        <w:numPr>
          <w:ilvl w:val="0"/>
          <w:numId w:val="28"/>
        </w:numPr>
        <w:ind w:left="462"/>
        <w:contextualSpacing/>
        <w:jc w:val="both"/>
        <w:rPr>
          <w:rFonts w:cs="Times New Roman"/>
          <w:b/>
          <w:bCs/>
          <w:color w:val="000000"/>
          <w:sz w:val="24"/>
          <w:szCs w:val="24"/>
        </w:rPr>
      </w:pPr>
      <w:r w:rsidRPr="00FB76C2">
        <w:rPr>
          <w:rFonts w:cs="Times New Roman"/>
          <w:color w:val="000000"/>
          <w:sz w:val="24"/>
          <w:szCs w:val="24"/>
        </w:rPr>
        <w:t>Pri odmeri komunalnega prispevka občina, na zahtevo zavezanca, upošteva morebitne že plačane prispevke za gradnjo posamezne vrste komunalne opreme na podlagi predloženih dokazil o plačilu in za tako ugotovljene valorizirane prispevke zniža plačilo odmerjenega komunalnega prispevka.</w:t>
      </w:r>
    </w:p>
    <w:p w14:paraId="68005BA5" w14:textId="77777777" w:rsidR="00FB76C2" w:rsidRPr="00FB76C2" w:rsidRDefault="00FB76C2" w:rsidP="00FB76C2">
      <w:pPr>
        <w:pStyle w:val="Odstavekseznama"/>
        <w:numPr>
          <w:ilvl w:val="0"/>
          <w:numId w:val="28"/>
        </w:numPr>
        <w:ind w:left="462"/>
        <w:contextualSpacing/>
        <w:jc w:val="both"/>
        <w:rPr>
          <w:rFonts w:cs="Times New Roman"/>
          <w:b/>
          <w:bCs/>
          <w:color w:val="000000"/>
          <w:sz w:val="24"/>
          <w:szCs w:val="24"/>
        </w:rPr>
      </w:pPr>
      <w:r w:rsidRPr="00FB76C2">
        <w:rPr>
          <w:rFonts w:cs="Times New Roman"/>
          <w:color w:val="000000"/>
          <w:sz w:val="24"/>
          <w:szCs w:val="24"/>
        </w:rPr>
        <w:t>Pri uveljavljanju preteklih vlaganj je zavezanec dolžan predložiti gradbeno dovoljenje ter tudi dokumentacijo glede zmogljivosti, namembnosti in komunalne opremljenosti obstoječega ali odstranjenega objekta.</w:t>
      </w:r>
    </w:p>
    <w:p w14:paraId="4F7CC8F8" w14:textId="1CC731BA" w:rsidR="00FB76C2" w:rsidRPr="000115C3" w:rsidRDefault="00FB76C2" w:rsidP="000115C3">
      <w:pPr>
        <w:pStyle w:val="Odstavekseznama"/>
        <w:numPr>
          <w:ilvl w:val="0"/>
          <w:numId w:val="28"/>
        </w:numPr>
        <w:ind w:left="462"/>
        <w:contextualSpacing/>
        <w:jc w:val="both"/>
        <w:rPr>
          <w:rFonts w:cs="Times New Roman"/>
          <w:b/>
          <w:bCs/>
          <w:color w:val="000000"/>
          <w:sz w:val="24"/>
          <w:szCs w:val="24"/>
        </w:rPr>
      </w:pPr>
      <w:r w:rsidRPr="00FB76C2">
        <w:rPr>
          <w:rFonts w:cs="Times New Roman"/>
          <w:color w:val="000000"/>
          <w:sz w:val="24"/>
          <w:szCs w:val="24"/>
        </w:rPr>
        <w:t>Če dokazov o pridobljenem gradbenem dovoljenju ni ali ni dokazil o predhodnih vlaganjih za komunalno opremo, upoštevanje preteklih vlaganj pri odmeri komunalnega prispevka ni možno.</w:t>
      </w:r>
    </w:p>
    <w:p w14:paraId="6BC8BB00" w14:textId="02AC6917" w:rsidR="00DA6CD8" w:rsidRPr="00760C8F" w:rsidRDefault="00422901" w:rsidP="00FB76C2">
      <w:pPr>
        <w:pStyle w:val="Odstavekseznama"/>
        <w:numPr>
          <w:ilvl w:val="0"/>
          <w:numId w:val="28"/>
        </w:numPr>
        <w:ind w:left="462"/>
        <w:contextualSpacing/>
        <w:jc w:val="both"/>
        <w:rPr>
          <w:rFonts w:cs="Times New Roman"/>
          <w:b/>
          <w:bCs/>
          <w:color w:val="000000"/>
          <w:sz w:val="24"/>
          <w:szCs w:val="24"/>
        </w:rPr>
      </w:pPr>
      <w:r w:rsidRPr="00422901">
        <w:rPr>
          <w:rFonts w:cs="Times New Roman"/>
          <w:color w:val="000000"/>
          <w:sz w:val="24"/>
          <w:szCs w:val="24"/>
        </w:rPr>
        <w:t>Če investitor plača komunalni prispevek za novo oziroma obstoječo komunalno opremo zaradi gradnje, ne prijavi pa začetka gradnje oziroma mu gradbeno dovoljenje preneha veljati, ni upravičen do vračila komunalnega prispevka. Poravnane obveznosti plačila komunalnega prispevka se investitorju ali njegovemu pravnemu nasledniku upoštevajo pri naslednji odmeri na predmetnem zemljišču ali v funkcionalno zaokroženem območju, v katerem je več med seboj prostorsko in funkcionalno povezanih objektov, če gre za gradnjo v kompleksnih območjih.</w:t>
      </w:r>
    </w:p>
    <w:p w14:paraId="2B483E78" w14:textId="750C5F86" w:rsidR="00760C8F" w:rsidRPr="00760C8F" w:rsidRDefault="00760C8F" w:rsidP="00FB76C2">
      <w:pPr>
        <w:pStyle w:val="Odstavekseznama"/>
        <w:numPr>
          <w:ilvl w:val="0"/>
          <w:numId w:val="28"/>
        </w:numPr>
        <w:ind w:left="462"/>
        <w:contextualSpacing/>
        <w:jc w:val="both"/>
        <w:rPr>
          <w:rFonts w:cs="Times New Roman"/>
          <w:color w:val="000000"/>
          <w:sz w:val="24"/>
          <w:szCs w:val="24"/>
        </w:rPr>
      </w:pPr>
      <w:r w:rsidRPr="00760C8F">
        <w:rPr>
          <w:rFonts w:cs="Times New Roman"/>
          <w:color w:val="000000"/>
          <w:sz w:val="24"/>
          <w:szCs w:val="24"/>
        </w:rPr>
        <w:t>Poravnane obveznosti iz prejšnjega odstavka se upoštevajo največ 20 let od njihovega plačila</w:t>
      </w:r>
      <w:r w:rsidRPr="00760C8F">
        <w:rPr>
          <w:rFonts w:cs="Times New Roman"/>
          <w:color w:val="000000"/>
          <w:sz w:val="24"/>
          <w:szCs w:val="24"/>
        </w:rPr>
        <w:t>.</w:t>
      </w:r>
    </w:p>
    <w:p w14:paraId="75E37F31" w14:textId="77777777" w:rsidR="00FB76C2" w:rsidRPr="00FB76C2" w:rsidRDefault="00FB76C2" w:rsidP="00FB76C2">
      <w:pPr>
        <w:ind w:left="102"/>
        <w:contextualSpacing/>
        <w:jc w:val="both"/>
        <w:rPr>
          <w:b/>
          <w:bCs/>
          <w:color w:val="000000"/>
        </w:rPr>
      </w:pPr>
    </w:p>
    <w:p w14:paraId="15DF2804" w14:textId="77777777" w:rsidR="00FB76C2" w:rsidRPr="0098223A" w:rsidRDefault="00FB76C2" w:rsidP="00C44DC0">
      <w:pPr>
        <w:jc w:val="center"/>
        <w:rPr>
          <w:rFonts w:eastAsia="Calibri"/>
          <w:b/>
          <w:lang w:eastAsia="en-US"/>
        </w:rPr>
      </w:pPr>
    </w:p>
    <w:p w14:paraId="6B978361" w14:textId="68D220AC" w:rsidR="00BE1E16" w:rsidRPr="0098223A" w:rsidRDefault="00BE1E16" w:rsidP="00C44DC0">
      <w:pPr>
        <w:jc w:val="center"/>
        <w:rPr>
          <w:rFonts w:eastAsia="Calibri"/>
          <w:b/>
          <w:bCs/>
          <w:lang w:eastAsia="en-US"/>
        </w:rPr>
      </w:pPr>
      <w:r w:rsidRPr="0098223A">
        <w:rPr>
          <w:rFonts w:eastAsia="Calibri"/>
          <w:b/>
          <w:bCs/>
          <w:lang w:eastAsia="en-US"/>
        </w:rPr>
        <w:t>VI</w:t>
      </w:r>
      <w:r w:rsidR="008F7FF3">
        <w:rPr>
          <w:rFonts w:eastAsia="Calibri"/>
          <w:b/>
          <w:bCs/>
          <w:lang w:eastAsia="en-US"/>
        </w:rPr>
        <w:t>I</w:t>
      </w:r>
      <w:r w:rsidRPr="0098223A">
        <w:rPr>
          <w:rFonts w:eastAsia="Calibri"/>
          <w:b/>
          <w:bCs/>
          <w:lang w:eastAsia="en-US"/>
        </w:rPr>
        <w:t>. VRAČILO KOMUNALNEGA PRISPEVKA</w:t>
      </w:r>
    </w:p>
    <w:p w14:paraId="2E9815BA" w14:textId="77777777" w:rsidR="00BB469E" w:rsidRPr="0098223A" w:rsidRDefault="00BB469E" w:rsidP="00C44DC0">
      <w:pPr>
        <w:jc w:val="center"/>
        <w:rPr>
          <w:rFonts w:eastAsia="Calibri"/>
          <w:b/>
          <w:bCs/>
          <w:lang w:eastAsia="en-US"/>
        </w:rPr>
      </w:pPr>
    </w:p>
    <w:p w14:paraId="1B865338" w14:textId="76CA5D69"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1</w:t>
      </w:r>
      <w:r w:rsidR="008F7FF3">
        <w:rPr>
          <w:rFonts w:eastAsia="Calibri"/>
          <w:b/>
          <w:bCs/>
          <w:shd w:val="clear" w:color="auto" w:fill="FFFFFF"/>
          <w:lang w:eastAsia="en-US"/>
        </w:rPr>
        <w:t>6</w:t>
      </w:r>
      <w:r w:rsidRPr="0098223A">
        <w:rPr>
          <w:rFonts w:eastAsia="Calibri"/>
          <w:b/>
          <w:bCs/>
          <w:shd w:val="clear" w:color="auto" w:fill="FFFFFF"/>
          <w:lang w:eastAsia="en-US"/>
        </w:rPr>
        <w:t>. člen</w:t>
      </w:r>
    </w:p>
    <w:p w14:paraId="0B334C3C" w14:textId="77777777" w:rsidR="00BE1E16" w:rsidRPr="0098223A" w:rsidRDefault="00BE1E16" w:rsidP="00C44DC0">
      <w:pPr>
        <w:jc w:val="center"/>
        <w:rPr>
          <w:rFonts w:eastAsia="Calibri"/>
          <w:b/>
          <w:bCs/>
          <w:shd w:val="clear" w:color="auto" w:fill="FFFFFF"/>
          <w:lang w:eastAsia="en-US"/>
        </w:rPr>
      </w:pPr>
      <w:r w:rsidRPr="0098223A">
        <w:rPr>
          <w:rFonts w:eastAsia="Calibri"/>
          <w:b/>
          <w:bCs/>
          <w:shd w:val="clear" w:color="auto" w:fill="FFFFFF"/>
          <w:lang w:eastAsia="en-US"/>
        </w:rPr>
        <w:t>(vračilo komunalnega prispevka)</w:t>
      </w:r>
    </w:p>
    <w:p w14:paraId="4A0058D0" w14:textId="77777777" w:rsidR="00443953" w:rsidRPr="0098223A" w:rsidRDefault="00443953" w:rsidP="00C44DC0">
      <w:pPr>
        <w:jc w:val="center"/>
        <w:rPr>
          <w:rFonts w:eastAsia="Calibri"/>
          <w:b/>
          <w:lang w:eastAsia="en-US"/>
        </w:rPr>
      </w:pPr>
    </w:p>
    <w:p w14:paraId="28D2E0B4" w14:textId="77777777" w:rsidR="00AB4085" w:rsidRPr="00AB4085" w:rsidRDefault="00AB4085" w:rsidP="00AB4085">
      <w:pPr>
        <w:numPr>
          <w:ilvl w:val="0"/>
          <w:numId w:val="18"/>
        </w:numPr>
        <w:contextualSpacing/>
        <w:jc w:val="both"/>
        <w:rPr>
          <w:rFonts w:eastAsia="Calibri"/>
          <w:bCs/>
          <w:lang w:eastAsia="en-US"/>
        </w:rPr>
      </w:pPr>
      <w:r w:rsidRPr="00AB4085">
        <w:rPr>
          <w:rFonts w:eastAsia="Calibri"/>
          <w:bCs/>
          <w:lang w:eastAsia="en-US"/>
        </w:rPr>
        <w:t>Investitor lahko zahteva vračilo komunalnega prispevka v primerih, ki jih določa veljavni zakon s področja urejanja prostora.</w:t>
      </w:r>
    </w:p>
    <w:p w14:paraId="7927AD31" w14:textId="3D031350" w:rsidR="00BE1E16" w:rsidRPr="0098223A" w:rsidRDefault="00AB4085" w:rsidP="00AB4085">
      <w:pPr>
        <w:numPr>
          <w:ilvl w:val="0"/>
          <w:numId w:val="18"/>
        </w:numPr>
        <w:contextualSpacing/>
        <w:jc w:val="both"/>
        <w:rPr>
          <w:rFonts w:eastAsia="Calibri"/>
          <w:bCs/>
          <w:lang w:eastAsia="en-US"/>
        </w:rPr>
      </w:pPr>
      <w:r w:rsidRPr="00AB4085">
        <w:rPr>
          <w:rFonts w:eastAsia="Calibri"/>
          <w:bCs/>
          <w:lang w:eastAsia="en-US"/>
        </w:rPr>
        <w:t>O vračilu komunalnega prispevka se izda posebna odločba. Vračilo komunalnega prispevka je občina dolžna zagotoviti v roku 45 dni po dokončnosti odločbe o vračilu.</w:t>
      </w:r>
      <w:r w:rsidR="00BE1E16" w:rsidRPr="0098223A">
        <w:rPr>
          <w:rFonts w:eastAsia="Calibri"/>
          <w:bCs/>
          <w:lang w:eastAsia="en-US"/>
        </w:rPr>
        <w:t xml:space="preserve"> </w:t>
      </w:r>
    </w:p>
    <w:bookmarkEnd w:id="2"/>
    <w:p w14:paraId="022C1DAD" w14:textId="1E8580FD" w:rsidR="00BE1E16" w:rsidRDefault="00BE1E16" w:rsidP="00C44DC0">
      <w:pPr>
        <w:rPr>
          <w:rFonts w:eastAsia="Calibri"/>
          <w:b/>
          <w:lang w:eastAsia="en-US"/>
        </w:rPr>
      </w:pPr>
    </w:p>
    <w:p w14:paraId="02B22BC7" w14:textId="77777777" w:rsidR="00753997" w:rsidRPr="0098223A" w:rsidRDefault="00753997" w:rsidP="00C44DC0">
      <w:pPr>
        <w:rPr>
          <w:rFonts w:eastAsia="Calibri"/>
          <w:b/>
          <w:lang w:eastAsia="en-US"/>
        </w:rPr>
      </w:pPr>
    </w:p>
    <w:p w14:paraId="717B2679" w14:textId="603C5527" w:rsidR="00BB469E" w:rsidRPr="0098223A" w:rsidRDefault="00BE1E16" w:rsidP="00C44DC0">
      <w:pPr>
        <w:jc w:val="center"/>
        <w:rPr>
          <w:rFonts w:eastAsia="Calibri"/>
          <w:b/>
          <w:bCs/>
          <w:lang w:eastAsia="en-US"/>
        </w:rPr>
      </w:pPr>
      <w:r w:rsidRPr="0098223A">
        <w:rPr>
          <w:rFonts w:eastAsia="Calibri"/>
          <w:b/>
          <w:bCs/>
          <w:lang w:eastAsia="en-US"/>
        </w:rPr>
        <w:t>VII</w:t>
      </w:r>
      <w:r w:rsidR="008F7FF3">
        <w:rPr>
          <w:rFonts w:eastAsia="Calibri"/>
          <w:b/>
          <w:bCs/>
          <w:lang w:eastAsia="en-US"/>
        </w:rPr>
        <w:t>I</w:t>
      </w:r>
      <w:r w:rsidRPr="0098223A">
        <w:rPr>
          <w:rFonts w:eastAsia="Calibri"/>
          <w:b/>
          <w:bCs/>
          <w:lang w:eastAsia="en-US"/>
        </w:rPr>
        <w:t>. PREHODNE IN KONČNE DOLOČBE</w:t>
      </w:r>
    </w:p>
    <w:p w14:paraId="7F87ECE9" w14:textId="51ABA9A4" w:rsidR="00BE1E16" w:rsidRPr="007F7DE3" w:rsidRDefault="00BE1E16" w:rsidP="007F7DE3">
      <w:pPr>
        <w:jc w:val="center"/>
        <w:rPr>
          <w:rFonts w:eastAsia="Calibri"/>
          <w:b/>
          <w:bCs/>
          <w:lang w:eastAsia="en-US"/>
        </w:rPr>
      </w:pPr>
      <w:r w:rsidRPr="0098223A">
        <w:rPr>
          <w:rFonts w:eastAsia="Calibri"/>
          <w:b/>
          <w:bCs/>
          <w:lang w:eastAsia="en-US"/>
        </w:rPr>
        <w:t xml:space="preserve"> </w:t>
      </w:r>
    </w:p>
    <w:p w14:paraId="5CF11ECF" w14:textId="77777777" w:rsidR="00753997" w:rsidRPr="0098223A" w:rsidRDefault="00753997" w:rsidP="00C44DC0"/>
    <w:p w14:paraId="1C98A2BA" w14:textId="435E02C7" w:rsidR="00BE1E16" w:rsidRPr="0098223A" w:rsidRDefault="00BE1E16" w:rsidP="00C44DC0">
      <w:pPr>
        <w:jc w:val="center"/>
        <w:rPr>
          <w:b/>
          <w:bCs/>
        </w:rPr>
      </w:pPr>
      <w:r w:rsidRPr="0098223A">
        <w:rPr>
          <w:b/>
          <w:bCs/>
        </w:rPr>
        <w:t>1</w:t>
      </w:r>
      <w:r w:rsidR="008F7FF3">
        <w:rPr>
          <w:b/>
          <w:bCs/>
        </w:rPr>
        <w:t>7</w:t>
      </w:r>
      <w:r w:rsidRPr="0098223A">
        <w:rPr>
          <w:b/>
          <w:bCs/>
        </w:rPr>
        <w:t>. člen</w:t>
      </w:r>
    </w:p>
    <w:p w14:paraId="26A78B9E" w14:textId="77777777" w:rsidR="00BE1E16" w:rsidRPr="0098223A" w:rsidRDefault="00BE1E16" w:rsidP="00C44DC0">
      <w:pPr>
        <w:jc w:val="center"/>
        <w:rPr>
          <w:b/>
          <w:bCs/>
        </w:rPr>
      </w:pPr>
      <w:r w:rsidRPr="0098223A">
        <w:rPr>
          <w:b/>
          <w:bCs/>
        </w:rPr>
        <w:t>(dokončanje postopkov)</w:t>
      </w:r>
    </w:p>
    <w:p w14:paraId="04A40245" w14:textId="77777777" w:rsidR="00BE1E16" w:rsidRPr="0098223A" w:rsidRDefault="00BE1E16" w:rsidP="00C44DC0">
      <w:pPr>
        <w:suppressAutoHyphens/>
        <w:overflowPunct w:val="0"/>
        <w:autoSpaceDE w:val="0"/>
        <w:autoSpaceDN w:val="0"/>
        <w:adjustRightInd w:val="0"/>
        <w:jc w:val="both"/>
        <w:rPr>
          <w:rFonts w:eastAsia="Calibri"/>
          <w:lang w:eastAsia="en-US"/>
        </w:rPr>
      </w:pPr>
    </w:p>
    <w:p w14:paraId="22F7CAB0" w14:textId="77777777" w:rsidR="00BE1E16" w:rsidRPr="0098223A" w:rsidRDefault="00BE1E16" w:rsidP="00C44DC0">
      <w:pPr>
        <w:suppressAutoHyphens/>
        <w:overflowPunct w:val="0"/>
        <w:autoSpaceDE w:val="0"/>
        <w:autoSpaceDN w:val="0"/>
        <w:adjustRightInd w:val="0"/>
        <w:jc w:val="both"/>
        <w:rPr>
          <w:rFonts w:eastAsia="Calibri"/>
          <w:lang w:eastAsia="en-US"/>
        </w:rPr>
      </w:pPr>
      <w:r w:rsidRPr="0098223A">
        <w:rPr>
          <w:rFonts w:eastAsia="Calibri"/>
          <w:lang w:eastAsia="en-US"/>
        </w:rPr>
        <w:t xml:space="preserve">Postopki odmere komunalnega prispevka, začeti pred uveljavitvijo tega odloka, se končajo v skladu s predpisi, ki so veljali pred njegovo uveljavitvijo. </w:t>
      </w:r>
    </w:p>
    <w:p w14:paraId="17278F91" w14:textId="77777777" w:rsidR="00BE1E16" w:rsidRPr="0098223A" w:rsidRDefault="00BE1E16" w:rsidP="00C44DC0"/>
    <w:p w14:paraId="63BB680B" w14:textId="17952CD9" w:rsidR="00BE1E16" w:rsidRPr="0098223A" w:rsidRDefault="00BE1E16" w:rsidP="00C44DC0">
      <w:pPr>
        <w:jc w:val="center"/>
        <w:rPr>
          <w:b/>
          <w:bCs/>
        </w:rPr>
      </w:pPr>
      <w:r w:rsidRPr="0098223A">
        <w:rPr>
          <w:b/>
          <w:bCs/>
        </w:rPr>
        <w:t>1</w:t>
      </w:r>
      <w:r w:rsidR="008F7FF3">
        <w:rPr>
          <w:b/>
          <w:bCs/>
        </w:rPr>
        <w:t>8</w:t>
      </w:r>
      <w:r w:rsidRPr="0098223A">
        <w:rPr>
          <w:b/>
          <w:bCs/>
        </w:rPr>
        <w:t>. člen</w:t>
      </w:r>
    </w:p>
    <w:p w14:paraId="27935AF2" w14:textId="77777777" w:rsidR="00BE1E16" w:rsidRPr="0098223A" w:rsidRDefault="00BE1E16" w:rsidP="00C44DC0">
      <w:pPr>
        <w:jc w:val="center"/>
        <w:rPr>
          <w:b/>
          <w:bCs/>
        </w:rPr>
      </w:pPr>
      <w:r w:rsidRPr="0098223A">
        <w:rPr>
          <w:b/>
          <w:bCs/>
        </w:rPr>
        <w:t>(prenehanje veljavnosti)</w:t>
      </w:r>
    </w:p>
    <w:p w14:paraId="5B14AD6F" w14:textId="77777777" w:rsidR="00BE1E16" w:rsidRPr="0098223A" w:rsidRDefault="00BE1E16" w:rsidP="00C44DC0">
      <w:pPr>
        <w:jc w:val="center"/>
        <w:rPr>
          <w:b/>
          <w:bCs/>
        </w:rPr>
      </w:pPr>
    </w:p>
    <w:p w14:paraId="416F9581" w14:textId="6F6DE407" w:rsidR="00443953" w:rsidRPr="0098223A" w:rsidRDefault="00BE1E16" w:rsidP="005E6ECD">
      <w:pPr>
        <w:suppressAutoHyphens/>
        <w:overflowPunct w:val="0"/>
        <w:autoSpaceDE w:val="0"/>
        <w:autoSpaceDN w:val="0"/>
        <w:adjustRightInd w:val="0"/>
        <w:jc w:val="both"/>
        <w:rPr>
          <w:rFonts w:eastAsia="Calibri"/>
          <w:bCs/>
          <w:iCs/>
          <w:lang w:eastAsia="en-US"/>
        </w:rPr>
      </w:pPr>
      <w:r w:rsidRPr="0098223A">
        <w:rPr>
          <w:rFonts w:eastAsia="Calibri"/>
          <w:lang w:eastAsia="en-US"/>
        </w:rPr>
        <w:t xml:space="preserve">Z dnem uveljavitve tega odloka preneha veljati </w:t>
      </w:r>
      <w:r w:rsidR="00CB5BB7" w:rsidRPr="00CB5BB7">
        <w:rPr>
          <w:rFonts w:eastAsia="Calibri"/>
          <w:bCs/>
          <w:iCs/>
          <w:lang w:eastAsia="en-US"/>
        </w:rPr>
        <w:t>Odlok o podlagah za odmero komunalnega prispevka za obstoječo komunalno opremo v Občini Žirovnica (Uradno prečiščeno besedilo – UPB1)</w:t>
      </w:r>
      <w:r w:rsidR="00C92016" w:rsidRPr="00C92016">
        <w:rPr>
          <w:rFonts w:eastAsia="Calibri"/>
          <w:bCs/>
          <w:iCs/>
          <w:lang w:eastAsia="en-US"/>
        </w:rPr>
        <w:t xml:space="preserve"> (Ur. l. RS, št. </w:t>
      </w:r>
      <w:r w:rsidR="00CB5BB7">
        <w:rPr>
          <w:rFonts w:eastAsia="Calibri"/>
          <w:bCs/>
          <w:iCs/>
          <w:lang w:eastAsia="en-US"/>
        </w:rPr>
        <w:t>52</w:t>
      </w:r>
      <w:r w:rsidR="00C92016" w:rsidRPr="00C92016">
        <w:rPr>
          <w:rFonts w:eastAsia="Calibri"/>
          <w:bCs/>
          <w:iCs/>
          <w:lang w:eastAsia="en-US"/>
        </w:rPr>
        <w:t>/</w:t>
      </w:r>
      <w:r w:rsidR="00CB5BB7">
        <w:rPr>
          <w:rFonts w:eastAsia="Calibri"/>
          <w:bCs/>
          <w:iCs/>
          <w:lang w:eastAsia="en-US"/>
        </w:rPr>
        <w:t>2</w:t>
      </w:r>
      <w:r w:rsidR="00C92016" w:rsidRPr="00C92016">
        <w:rPr>
          <w:rFonts w:eastAsia="Calibri"/>
          <w:bCs/>
          <w:iCs/>
          <w:lang w:eastAsia="en-US"/>
        </w:rPr>
        <w:t>2)</w:t>
      </w:r>
      <w:r w:rsidR="00F94759">
        <w:rPr>
          <w:rFonts w:eastAsia="Calibri"/>
          <w:bCs/>
          <w:iCs/>
          <w:lang w:eastAsia="en-US"/>
        </w:rPr>
        <w:t>.</w:t>
      </w:r>
      <w:bookmarkStart w:id="3" w:name="_Hlk54251103"/>
    </w:p>
    <w:bookmarkEnd w:id="3"/>
    <w:p w14:paraId="70C74343" w14:textId="77777777" w:rsidR="00BE1E16" w:rsidRPr="0098223A" w:rsidRDefault="00BE1E16" w:rsidP="00C44DC0">
      <w:pPr>
        <w:jc w:val="both"/>
        <w:rPr>
          <w:rFonts w:eastAsia="Calibri"/>
          <w:bCs/>
          <w:i/>
          <w:iCs/>
          <w:lang w:eastAsia="en-US"/>
        </w:rPr>
      </w:pPr>
    </w:p>
    <w:p w14:paraId="276C5388" w14:textId="2C12599F" w:rsidR="00BE1E16" w:rsidRPr="0098223A" w:rsidRDefault="00300F01" w:rsidP="00C44DC0">
      <w:pPr>
        <w:jc w:val="center"/>
        <w:rPr>
          <w:b/>
          <w:bCs/>
        </w:rPr>
      </w:pPr>
      <w:r w:rsidRPr="0098223A">
        <w:rPr>
          <w:b/>
          <w:bCs/>
        </w:rPr>
        <w:t>1</w:t>
      </w:r>
      <w:r w:rsidR="008F7FF3">
        <w:rPr>
          <w:b/>
          <w:bCs/>
        </w:rPr>
        <w:t>9</w:t>
      </w:r>
      <w:r w:rsidR="00BE1E16" w:rsidRPr="0098223A">
        <w:rPr>
          <w:b/>
          <w:bCs/>
        </w:rPr>
        <w:t xml:space="preserve">. člen </w:t>
      </w:r>
    </w:p>
    <w:p w14:paraId="01CD5B5B" w14:textId="77777777" w:rsidR="00BE1E16" w:rsidRPr="0098223A" w:rsidRDefault="00BE1E16" w:rsidP="00C44DC0">
      <w:pPr>
        <w:jc w:val="center"/>
        <w:rPr>
          <w:b/>
          <w:bCs/>
        </w:rPr>
      </w:pPr>
      <w:r w:rsidRPr="0098223A">
        <w:rPr>
          <w:b/>
          <w:bCs/>
        </w:rPr>
        <w:t xml:space="preserve">(začetek veljavnosti) </w:t>
      </w:r>
    </w:p>
    <w:p w14:paraId="3E366875" w14:textId="77777777" w:rsidR="00BE1E16" w:rsidRPr="0098223A" w:rsidRDefault="00BE1E16" w:rsidP="00C44DC0">
      <w:pPr>
        <w:suppressAutoHyphens/>
        <w:overflowPunct w:val="0"/>
        <w:autoSpaceDE w:val="0"/>
        <w:autoSpaceDN w:val="0"/>
        <w:adjustRightInd w:val="0"/>
        <w:jc w:val="both"/>
        <w:rPr>
          <w:rFonts w:eastAsia="Calibri"/>
          <w:lang w:eastAsia="en-US"/>
        </w:rPr>
      </w:pPr>
    </w:p>
    <w:p w14:paraId="48522566" w14:textId="7615631C" w:rsidR="00BE1E16" w:rsidRPr="0098223A" w:rsidRDefault="00BE1E16" w:rsidP="00C44DC0">
      <w:pPr>
        <w:suppressAutoHyphens/>
        <w:overflowPunct w:val="0"/>
        <w:autoSpaceDE w:val="0"/>
        <w:autoSpaceDN w:val="0"/>
        <w:adjustRightInd w:val="0"/>
        <w:jc w:val="both"/>
        <w:rPr>
          <w:rFonts w:eastAsia="Calibri"/>
          <w:lang w:eastAsia="en-US"/>
        </w:rPr>
      </w:pPr>
      <w:r w:rsidRPr="0098223A">
        <w:rPr>
          <w:rFonts w:eastAsia="Calibri"/>
          <w:lang w:eastAsia="en-US"/>
        </w:rPr>
        <w:t xml:space="preserve">Ta odlok začne veljati </w:t>
      </w:r>
      <w:r w:rsidR="0006369A" w:rsidRPr="004462DB">
        <w:rPr>
          <w:rFonts w:eastAsia="Calibri"/>
          <w:lang w:eastAsia="en-US"/>
        </w:rPr>
        <w:t xml:space="preserve">osmi </w:t>
      </w:r>
      <w:r w:rsidRPr="004462DB">
        <w:rPr>
          <w:rFonts w:eastAsia="Calibri"/>
          <w:lang w:eastAsia="en-US"/>
        </w:rPr>
        <w:t xml:space="preserve">dan po objavi v </w:t>
      </w:r>
      <w:r w:rsidR="00B31D15" w:rsidRPr="004462DB">
        <w:rPr>
          <w:rFonts w:eastAsia="Calibri"/>
          <w:lang w:eastAsia="en-US"/>
        </w:rPr>
        <w:t xml:space="preserve">Uradnem </w:t>
      </w:r>
      <w:r w:rsidR="00B95EE4">
        <w:rPr>
          <w:rFonts w:eastAsia="Calibri"/>
          <w:lang w:eastAsia="en-US"/>
        </w:rPr>
        <w:t>listu Republike Slovenije</w:t>
      </w:r>
      <w:r w:rsidRPr="004462DB">
        <w:rPr>
          <w:rFonts w:eastAsia="Calibri"/>
          <w:lang w:eastAsia="en-US"/>
        </w:rPr>
        <w:t>.</w:t>
      </w:r>
    </w:p>
    <w:p w14:paraId="1271A32F" w14:textId="77777777" w:rsidR="00BE1E16" w:rsidRPr="0098223A" w:rsidRDefault="00BE1E16" w:rsidP="00C44DC0">
      <w:pPr>
        <w:rPr>
          <w:rFonts w:eastAsia="Calibri"/>
          <w:lang w:eastAsia="en-US"/>
        </w:rPr>
      </w:pPr>
    </w:p>
    <w:p w14:paraId="2C8DEF7B" w14:textId="2E74CB8A" w:rsidR="00443953" w:rsidRPr="0098223A" w:rsidRDefault="00443953" w:rsidP="00443953">
      <w:r w:rsidRPr="0098223A">
        <w:t xml:space="preserve">Številka: </w:t>
      </w:r>
      <w:r w:rsidR="00A865C7">
        <w:t>007-001/2023</w:t>
      </w:r>
    </w:p>
    <w:p w14:paraId="5C291E5E" w14:textId="08DF1AAA" w:rsidR="00443953" w:rsidRDefault="00255E63" w:rsidP="00443953">
      <w:r w:rsidRPr="0098223A">
        <w:t>Datum:</w:t>
      </w:r>
    </w:p>
    <w:p w14:paraId="720E9FD5" w14:textId="77777777" w:rsidR="003E36A5" w:rsidRPr="0098223A" w:rsidRDefault="003E36A5" w:rsidP="00443953"/>
    <w:p w14:paraId="307EF070" w14:textId="77777777" w:rsidR="00443953" w:rsidRPr="0098223A" w:rsidRDefault="00443953" w:rsidP="00443953"/>
    <w:p w14:paraId="45AAECE8" w14:textId="780C91BF" w:rsidR="003E36A5" w:rsidRDefault="003E36A5" w:rsidP="003E36A5">
      <w:pPr>
        <w:ind w:left="6372" w:hanging="1552"/>
        <w:jc w:val="center"/>
      </w:pPr>
      <w:r>
        <w:t xml:space="preserve">Občina </w:t>
      </w:r>
      <w:r w:rsidR="00EC50CA">
        <w:t>Žirovnica</w:t>
      </w:r>
    </w:p>
    <w:p w14:paraId="35415CEC" w14:textId="4B9DFFBF" w:rsidR="00BA7C0F" w:rsidRPr="0098223A" w:rsidRDefault="00EC50CA" w:rsidP="003E36A5">
      <w:pPr>
        <w:ind w:left="6372" w:hanging="1552"/>
        <w:jc w:val="center"/>
      </w:pPr>
      <w:r w:rsidRPr="00EC50CA">
        <w:t>Leopold Pogačar</w:t>
      </w:r>
    </w:p>
    <w:p w14:paraId="2796A91F" w14:textId="1149BCF0" w:rsidR="00443953" w:rsidRPr="0098223A" w:rsidRDefault="00B33802" w:rsidP="003E36A5">
      <w:pPr>
        <w:ind w:left="5670" w:hanging="1552"/>
        <w:jc w:val="center"/>
      </w:pPr>
      <w:r w:rsidRPr="0098223A">
        <w:t xml:space="preserve">      </w:t>
      </w:r>
      <w:r w:rsidR="00AF53DE">
        <w:t xml:space="preserve">    </w:t>
      </w:r>
      <w:r w:rsidRPr="0098223A">
        <w:t xml:space="preserve">  </w:t>
      </w:r>
      <w:r w:rsidR="00443953" w:rsidRPr="0098223A">
        <w:t>ŽUPAN</w:t>
      </w:r>
    </w:p>
    <w:p w14:paraId="5CD1C4FB" w14:textId="4B5CAF3A" w:rsidR="00A865C7" w:rsidRDefault="00A865C7" w:rsidP="00A865C7">
      <w:pPr>
        <w:rPr>
          <w:rFonts w:eastAsia="Calibri"/>
          <w:lang w:eastAsia="en-US"/>
        </w:rPr>
      </w:pPr>
    </w:p>
    <w:p w14:paraId="3DBB20FB" w14:textId="4EED2003" w:rsidR="00A865C7" w:rsidRDefault="00A865C7" w:rsidP="00A865C7">
      <w:pPr>
        <w:rPr>
          <w:rFonts w:eastAsia="Calibri"/>
          <w:lang w:eastAsia="en-US"/>
        </w:rPr>
      </w:pPr>
    </w:p>
    <w:p w14:paraId="79F20354" w14:textId="0006A7EB" w:rsidR="00A865C7" w:rsidRDefault="00A865C7" w:rsidP="00A865C7">
      <w:pPr>
        <w:rPr>
          <w:rFonts w:eastAsia="Calibri"/>
          <w:lang w:eastAsia="en-US"/>
        </w:rPr>
      </w:pPr>
    </w:p>
    <w:p w14:paraId="1A648331" w14:textId="1D09B7B6" w:rsidR="00A865C7" w:rsidRDefault="00A865C7" w:rsidP="00A865C7">
      <w:pPr>
        <w:rPr>
          <w:rFonts w:eastAsia="Calibri"/>
          <w:lang w:eastAsia="en-US"/>
        </w:rPr>
      </w:pPr>
    </w:p>
    <w:p w14:paraId="18D97823" w14:textId="77777777" w:rsidR="00A865C7" w:rsidRDefault="00A865C7" w:rsidP="00A865C7">
      <w:pPr>
        <w:rPr>
          <w:rFonts w:eastAsia="Calibri"/>
          <w:lang w:eastAsia="en-US"/>
        </w:rPr>
      </w:pPr>
    </w:p>
    <w:p w14:paraId="705E7246" w14:textId="7252C802" w:rsidR="00A865C7" w:rsidRDefault="00A865C7" w:rsidP="00A865C7">
      <w:pPr>
        <w:rPr>
          <w:rFonts w:eastAsia="Calibri"/>
          <w:lang w:eastAsia="en-US"/>
        </w:rPr>
      </w:pPr>
    </w:p>
    <w:p w14:paraId="6CCFFA2C" w14:textId="6733DAC5" w:rsidR="00A865C7" w:rsidRDefault="00A865C7" w:rsidP="00A865C7">
      <w:pPr>
        <w:ind w:left="1418" w:hanging="1418"/>
        <w:rPr>
          <w:rFonts w:eastAsia="Calibri"/>
          <w:lang w:eastAsia="en-US"/>
        </w:rPr>
      </w:pPr>
      <w:r>
        <w:rPr>
          <w:rFonts w:eastAsia="Calibri"/>
          <w:lang w:eastAsia="en-US"/>
        </w:rPr>
        <w:t xml:space="preserve">Priloga 1: </w:t>
      </w:r>
      <w:r>
        <w:rPr>
          <w:rFonts w:eastAsia="Calibri"/>
          <w:lang w:eastAsia="en-US"/>
        </w:rPr>
        <w:tab/>
      </w:r>
      <w:r w:rsidRPr="00A865C7">
        <w:rPr>
          <w:rFonts w:eastAsia="Calibri"/>
          <w:lang w:eastAsia="en-US"/>
        </w:rPr>
        <w:t xml:space="preserve">Povzetek pogojev dodeljevanja de </w:t>
      </w:r>
      <w:proofErr w:type="spellStart"/>
      <w:r w:rsidRPr="00A865C7">
        <w:rPr>
          <w:rFonts w:eastAsia="Calibri"/>
          <w:lang w:eastAsia="en-US"/>
        </w:rPr>
        <w:t>minimis</w:t>
      </w:r>
      <w:proofErr w:type="spellEnd"/>
      <w:r w:rsidRPr="00A865C7">
        <w:rPr>
          <w:rFonts w:eastAsia="Calibri"/>
          <w:lang w:eastAsia="en-US"/>
        </w:rPr>
        <w:t xml:space="preserve"> pomoči v skladu z Uredbo Komisije ( EU) št. 1407/2013</w:t>
      </w:r>
    </w:p>
    <w:p w14:paraId="16C6499C" w14:textId="6CBE2C71" w:rsidR="00A865C7" w:rsidRDefault="00A865C7" w:rsidP="00A865C7">
      <w:pPr>
        <w:rPr>
          <w:rFonts w:eastAsia="Calibri"/>
          <w:lang w:eastAsia="en-US"/>
        </w:rPr>
      </w:pPr>
    </w:p>
    <w:p w14:paraId="56BBDC7E" w14:textId="77777777" w:rsidR="00A865C7" w:rsidRPr="00C5260F" w:rsidRDefault="00A865C7" w:rsidP="00A865C7">
      <w:pPr>
        <w:rPr>
          <w:rFonts w:eastAsia="Calibri"/>
          <w:lang w:eastAsia="en-US"/>
        </w:rPr>
      </w:pPr>
    </w:p>
    <w:sectPr w:rsidR="00A865C7" w:rsidRPr="00C5260F" w:rsidSect="003E36A5">
      <w:headerReference w:type="default" r:id="rId8"/>
      <w:footerReference w:type="even" r:id="rId9"/>
      <w:footerReference w:type="default" r:id="rId10"/>
      <w:type w:val="continuous"/>
      <w:pgSz w:w="11906" w:h="16838" w:code="9"/>
      <w:pgMar w:top="1276"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B59F" w14:textId="77777777" w:rsidR="001F7260" w:rsidRDefault="001F7260">
      <w:r>
        <w:separator/>
      </w:r>
    </w:p>
  </w:endnote>
  <w:endnote w:type="continuationSeparator" w:id="0">
    <w:p w14:paraId="0CCB319B" w14:textId="77777777" w:rsidR="001F7260" w:rsidRDefault="001F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FIDMJ+TimesNewRoman">
    <w:altName w:val="Times New Roman"/>
    <w:charset w:val="EE"/>
    <w:family w:val="roman"/>
    <w:pitch w:val="default"/>
  </w:font>
  <w:font w:name="Calibri">
    <w:panose1 w:val="020F0502020204030204"/>
    <w:charset w:val="00"/>
    <w:family w:val="swiss"/>
    <w:pitch w:val="variable"/>
    <w:sig w:usb0="E4002EFF" w:usb1="C200247B" w:usb2="00000009" w:usb3="00000000" w:csb0="000001FF" w:csb1="00000000"/>
  </w:font>
  <w:font w:name="SLO Arial">
    <w:altName w:val="Arial Narro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itstream Vera Sans">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13F3" w14:textId="77777777" w:rsidR="001F7260" w:rsidRDefault="001F7260" w:rsidP="00087D3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A02F64" w14:textId="77777777" w:rsidR="001F7260" w:rsidRDefault="001F726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2132" w14:textId="77777777" w:rsidR="001F7260" w:rsidRDefault="001F726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F80D" w14:textId="77777777" w:rsidR="001F7260" w:rsidRDefault="001F7260">
      <w:r>
        <w:separator/>
      </w:r>
    </w:p>
  </w:footnote>
  <w:footnote w:type="continuationSeparator" w:id="0">
    <w:p w14:paraId="19600C5A" w14:textId="77777777" w:rsidR="001F7260" w:rsidRDefault="001F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016A" w14:textId="5E9E739E" w:rsidR="003E36A5" w:rsidRPr="003E36A5" w:rsidRDefault="003E36A5">
    <w:pPr>
      <w:pStyle w:val="Glava"/>
      <w:rPr>
        <w:rFonts w:ascii="Times New Roman" w:hAnsi="Times New Roman"/>
        <w:sz w:val="20"/>
      </w:rPr>
    </w:pPr>
    <w:r>
      <w:rPr>
        <w:rFonts w:ascii="Times New Roman" w:hAnsi="Times New Roman"/>
        <w:sz w:val="20"/>
      </w:rPr>
      <w:tab/>
    </w:r>
    <w:r>
      <w:rPr>
        <w:rFonts w:ascii="Times New Roman" w:hAnsi="Times New Roman"/>
        <w:sz w:val="20"/>
      </w:rPr>
      <w:tab/>
    </w:r>
    <w:r w:rsidRPr="003E36A5">
      <w:rPr>
        <w:rFonts w:ascii="Times New Roman" w:hAnsi="Times New Roman"/>
        <w:sz w:val="20"/>
      </w:rPr>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FE4"/>
    <w:multiLevelType w:val="hybridMultilevel"/>
    <w:tmpl w:val="F6861F4C"/>
    <w:lvl w:ilvl="0" w:tplc="BF9C6354">
      <w:start w:val="5"/>
      <w:numFmt w:val="decimal"/>
      <w:lvlText w:val="%1."/>
      <w:lvlJc w:val="left"/>
      <w:pPr>
        <w:ind w:left="720" w:hanging="360"/>
      </w:pPr>
      <w:rPr>
        <w:rFonts w:hint="default"/>
        <w:b w:val="0"/>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C30E2"/>
    <w:multiLevelType w:val="hybridMultilevel"/>
    <w:tmpl w:val="41C45536"/>
    <w:lvl w:ilvl="0" w:tplc="0B504B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0F3063"/>
    <w:multiLevelType w:val="hybridMultilevel"/>
    <w:tmpl w:val="80966208"/>
    <w:lvl w:ilvl="0" w:tplc="CF5E076E">
      <w:start w:val="1"/>
      <w:numFmt w:val="decimal"/>
      <w:lvlText w:val="(%1)"/>
      <w:lvlJc w:val="left"/>
      <w:pPr>
        <w:ind w:left="360" w:hanging="360"/>
      </w:pPr>
      <w:rPr>
        <w:rFonts w:hint="default"/>
        <w:color w:val="00000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196FF3"/>
    <w:multiLevelType w:val="hybridMultilevel"/>
    <w:tmpl w:val="FBDCC2B8"/>
    <w:lvl w:ilvl="0" w:tplc="5D7EFE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842D9C"/>
    <w:multiLevelType w:val="hybridMultilevel"/>
    <w:tmpl w:val="FC1ECE54"/>
    <w:lvl w:ilvl="0" w:tplc="27D8E06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6D2E03"/>
    <w:multiLevelType w:val="hybridMultilevel"/>
    <w:tmpl w:val="FE826CCA"/>
    <w:lvl w:ilvl="0" w:tplc="E9200D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067FCB"/>
    <w:multiLevelType w:val="hybridMultilevel"/>
    <w:tmpl w:val="257673C4"/>
    <w:lvl w:ilvl="0" w:tplc="E9200D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185D37"/>
    <w:multiLevelType w:val="hybridMultilevel"/>
    <w:tmpl w:val="5E0EA498"/>
    <w:lvl w:ilvl="0" w:tplc="0DCE0B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E200BA1"/>
    <w:multiLevelType w:val="hybridMultilevel"/>
    <w:tmpl w:val="9D58DC0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C36A81"/>
    <w:multiLevelType w:val="hybridMultilevel"/>
    <w:tmpl w:val="03AE9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332024"/>
    <w:multiLevelType w:val="hybridMultilevel"/>
    <w:tmpl w:val="7F6480D6"/>
    <w:lvl w:ilvl="0" w:tplc="E9200DC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C3F5134"/>
    <w:multiLevelType w:val="hybridMultilevel"/>
    <w:tmpl w:val="EC7E2416"/>
    <w:lvl w:ilvl="0" w:tplc="A1A84162">
      <w:start w:val="1"/>
      <w:numFmt w:val="decimal"/>
      <w:lvlText w:val="(%1)"/>
      <w:lvlJc w:val="left"/>
      <w:pPr>
        <w:ind w:left="360" w:hanging="360"/>
      </w:pPr>
      <w:rPr>
        <w:rFonts w:hint="default"/>
      </w:rPr>
    </w:lvl>
    <w:lvl w:ilvl="1" w:tplc="5EB0E7F6">
      <w:start w:val="1"/>
      <w:numFmt w:val="bullet"/>
      <w:lvlText w:val=""/>
      <w:lvlJc w:val="left"/>
      <w:pPr>
        <w:ind w:left="72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16E1DB4"/>
    <w:multiLevelType w:val="hybridMultilevel"/>
    <w:tmpl w:val="F50A27D4"/>
    <w:lvl w:ilvl="0" w:tplc="5D7EFED8">
      <w:start w:val="1"/>
      <w:numFmt w:val="decimal"/>
      <w:lvlText w:val="(%1)"/>
      <w:lvlJc w:val="left"/>
      <w:pPr>
        <w:ind w:left="360" w:hanging="360"/>
      </w:pPr>
      <w:rPr>
        <w:rFonts w:hint="default"/>
      </w:rPr>
    </w:lvl>
    <w:lvl w:ilvl="1" w:tplc="8ACC52E0">
      <w:numFmt w:val="bullet"/>
      <w:lvlText w:val="-"/>
      <w:lvlJc w:val="left"/>
      <w:pPr>
        <w:ind w:left="1080" w:hanging="360"/>
      </w:pPr>
      <w:rPr>
        <w:rFonts w:ascii="Calibri Light" w:eastAsia="Times New Roman" w:hAnsi="Calibri Light" w:cs="Calibri Light"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7164D8"/>
    <w:multiLevelType w:val="multilevel"/>
    <w:tmpl w:val="D820C354"/>
    <w:lvl w:ilvl="0">
      <w:start w:val="1"/>
      <w:numFmt w:val="decimal"/>
      <w:pStyle w:val="Naslov1"/>
      <w:lvlText w:val="%1."/>
      <w:lvlJc w:val="left"/>
      <w:pPr>
        <w:tabs>
          <w:tab w:val="num" w:pos="432"/>
        </w:tabs>
        <w:ind w:left="432" w:hanging="432"/>
      </w:pPr>
      <w:rPr>
        <w:b/>
        <w:i/>
        <w:sz w:val="28"/>
      </w:rPr>
    </w:lvl>
    <w:lvl w:ilvl="1">
      <w:start w:val="1"/>
      <w:numFmt w:val="decimal"/>
      <w:pStyle w:val="Naslov2"/>
      <w:lvlText w:val="%1.%2."/>
      <w:lvlJc w:val="left"/>
      <w:pPr>
        <w:tabs>
          <w:tab w:val="num" w:pos="576"/>
        </w:tabs>
        <w:ind w:left="576" w:hanging="576"/>
      </w:pPr>
      <w:rPr>
        <w:caps w:val="0"/>
      </w:r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4" w15:restartNumberingAfterBreak="0">
    <w:nsid w:val="56F12282"/>
    <w:multiLevelType w:val="hybridMultilevel"/>
    <w:tmpl w:val="BA305698"/>
    <w:lvl w:ilvl="0" w:tplc="8B2467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8D6317"/>
    <w:multiLevelType w:val="hybridMultilevel"/>
    <w:tmpl w:val="525E3544"/>
    <w:lvl w:ilvl="0" w:tplc="774E6FF0">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5AA35AA0"/>
    <w:multiLevelType w:val="hybridMultilevel"/>
    <w:tmpl w:val="EFD67CA0"/>
    <w:lvl w:ilvl="0" w:tplc="04240003">
      <w:numFmt w:val="bullet"/>
      <w:lvlText w:val="-"/>
      <w:lvlJc w:val="left"/>
      <w:pPr>
        <w:ind w:left="720" w:hanging="360"/>
      </w:pPr>
      <w:rPr>
        <w:rFonts w:ascii="Times New Roman" w:eastAsia="CFIDMJ+TimesNew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A540BF"/>
    <w:multiLevelType w:val="hybridMultilevel"/>
    <w:tmpl w:val="D3F62AB6"/>
    <w:lvl w:ilvl="0" w:tplc="892038BC">
      <w:start w:val="1"/>
      <w:numFmt w:val="decimal"/>
      <w:lvlText w:val="%1."/>
      <w:lvlJc w:val="left"/>
      <w:pPr>
        <w:ind w:left="720" w:hanging="360"/>
      </w:pPr>
      <w:rPr>
        <w:rFonts w:ascii="Times New Roman" w:hAnsi="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05329DA"/>
    <w:multiLevelType w:val="hybridMultilevel"/>
    <w:tmpl w:val="B576F978"/>
    <w:lvl w:ilvl="0" w:tplc="774E6FF0">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60817824"/>
    <w:multiLevelType w:val="hybridMultilevel"/>
    <w:tmpl w:val="89BA1814"/>
    <w:lvl w:ilvl="0" w:tplc="F29032BA">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8B3838"/>
    <w:multiLevelType w:val="hybridMultilevel"/>
    <w:tmpl w:val="31445008"/>
    <w:lvl w:ilvl="0" w:tplc="90B4EDC4">
      <w:start w:val="35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A0A537B"/>
    <w:multiLevelType w:val="hybridMultilevel"/>
    <w:tmpl w:val="A752A032"/>
    <w:lvl w:ilvl="0" w:tplc="5D7EFE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E33275"/>
    <w:multiLevelType w:val="hybridMultilevel"/>
    <w:tmpl w:val="D9F4FCC8"/>
    <w:lvl w:ilvl="0" w:tplc="F29032BA">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FD46A5F"/>
    <w:multiLevelType w:val="hybridMultilevel"/>
    <w:tmpl w:val="13564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74F22911"/>
    <w:multiLevelType w:val="hybridMultilevel"/>
    <w:tmpl w:val="4AE22F68"/>
    <w:lvl w:ilvl="0" w:tplc="774E6FF0">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76F02FCA"/>
    <w:multiLevelType w:val="hybridMultilevel"/>
    <w:tmpl w:val="FDBE2A62"/>
    <w:lvl w:ilvl="0" w:tplc="930CCE3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9D77E63"/>
    <w:multiLevelType w:val="hybridMultilevel"/>
    <w:tmpl w:val="03AE9A22"/>
    <w:lvl w:ilvl="0" w:tplc="DBEA46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FE7041E"/>
    <w:multiLevelType w:val="hybridMultilevel"/>
    <w:tmpl w:val="1EDE7530"/>
    <w:lvl w:ilvl="0" w:tplc="C52A67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6671418">
    <w:abstractNumId w:val="13"/>
  </w:num>
  <w:num w:numId="2" w16cid:durableId="1975401368">
    <w:abstractNumId w:val="17"/>
  </w:num>
  <w:num w:numId="3" w16cid:durableId="901908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760209">
    <w:abstractNumId w:val="27"/>
  </w:num>
  <w:num w:numId="5" w16cid:durableId="1978535148">
    <w:abstractNumId w:val="8"/>
  </w:num>
  <w:num w:numId="6" w16cid:durableId="731347787">
    <w:abstractNumId w:val="3"/>
  </w:num>
  <w:num w:numId="7" w16cid:durableId="1633637058">
    <w:abstractNumId w:val="15"/>
  </w:num>
  <w:num w:numId="8" w16cid:durableId="1892842245">
    <w:abstractNumId w:val="18"/>
  </w:num>
  <w:num w:numId="9" w16cid:durableId="1976640914">
    <w:abstractNumId w:val="24"/>
  </w:num>
  <w:num w:numId="10" w16cid:durableId="415975525">
    <w:abstractNumId w:val="21"/>
  </w:num>
  <w:num w:numId="11" w16cid:durableId="732971742">
    <w:abstractNumId w:val="12"/>
  </w:num>
  <w:num w:numId="12" w16cid:durableId="1575895451">
    <w:abstractNumId w:val="14"/>
  </w:num>
  <w:num w:numId="13" w16cid:durableId="389771517">
    <w:abstractNumId w:val="25"/>
  </w:num>
  <w:num w:numId="14" w16cid:durableId="2087920055">
    <w:abstractNumId w:val="2"/>
  </w:num>
  <w:num w:numId="15" w16cid:durableId="635643102">
    <w:abstractNumId w:val="19"/>
  </w:num>
  <w:num w:numId="16" w16cid:durableId="1127240291">
    <w:abstractNumId w:val="10"/>
  </w:num>
  <w:num w:numId="17" w16cid:durableId="792941891">
    <w:abstractNumId w:val="6"/>
  </w:num>
  <w:num w:numId="18" w16cid:durableId="349533867">
    <w:abstractNumId w:val="5"/>
  </w:num>
  <w:num w:numId="19" w16cid:durableId="1664816032">
    <w:abstractNumId w:val="1"/>
  </w:num>
  <w:num w:numId="20" w16cid:durableId="435446581">
    <w:abstractNumId w:val="0"/>
  </w:num>
  <w:num w:numId="21" w16cid:durableId="709040245">
    <w:abstractNumId w:val="22"/>
  </w:num>
  <w:num w:numId="22" w16cid:durableId="984357965">
    <w:abstractNumId w:val="7"/>
  </w:num>
  <w:num w:numId="23" w16cid:durableId="623780250">
    <w:abstractNumId w:val="16"/>
  </w:num>
  <w:num w:numId="24" w16cid:durableId="2134054045">
    <w:abstractNumId w:val="20"/>
  </w:num>
  <w:num w:numId="25" w16cid:durableId="521667232">
    <w:abstractNumId w:val="11"/>
  </w:num>
  <w:num w:numId="26" w16cid:durableId="515732944">
    <w:abstractNumId w:val="26"/>
  </w:num>
  <w:num w:numId="27" w16cid:durableId="718364514">
    <w:abstractNumId w:val="9"/>
  </w:num>
  <w:num w:numId="28" w16cid:durableId="137908637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64"/>
    <w:rsid w:val="000059DA"/>
    <w:rsid w:val="00006F28"/>
    <w:rsid w:val="000115C3"/>
    <w:rsid w:val="00014ECF"/>
    <w:rsid w:val="000152B6"/>
    <w:rsid w:val="00017E75"/>
    <w:rsid w:val="00017FE5"/>
    <w:rsid w:val="000218FB"/>
    <w:rsid w:val="000220E5"/>
    <w:rsid w:val="000261CA"/>
    <w:rsid w:val="0002627E"/>
    <w:rsid w:val="00026FA6"/>
    <w:rsid w:val="0002771B"/>
    <w:rsid w:val="00031EC0"/>
    <w:rsid w:val="00036442"/>
    <w:rsid w:val="00047EF7"/>
    <w:rsid w:val="00056155"/>
    <w:rsid w:val="00057775"/>
    <w:rsid w:val="0006048C"/>
    <w:rsid w:val="0006369A"/>
    <w:rsid w:val="000644AC"/>
    <w:rsid w:val="00064D24"/>
    <w:rsid w:val="000650ED"/>
    <w:rsid w:val="00072FEF"/>
    <w:rsid w:val="000732F6"/>
    <w:rsid w:val="00075A7E"/>
    <w:rsid w:val="00080FB9"/>
    <w:rsid w:val="00087D37"/>
    <w:rsid w:val="00090B95"/>
    <w:rsid w:val="000911C2"/>
    <w:rsid w:val="0009140C"/>
    <w:rsid w:val="00091562"/>
    <w:rsid w:val="000934F0"/>
    <w:rsid w:val="000947D6"/>
    <w:rsid w:val="000964A8"/>
    <w:rsid w:val="00097B1C"/>
    <w:rsid w:val="000A1E16"/>
    <w:rsid w:val="000A2751"/>
    <w:rsid w:val="000A4125"/>
    <w:rsid w:val="000A425C"/>
    <w:rsid w:val="000A54D7"/>
    <w:rsid w:val="000B230E"/>
    <w:rsid w:val="000B33A7"/>
    <w:rsid w:val="000B74B6"/>
    <w:rsid w:val="000B7FA3"/>
    <w:rsid w:val="000C0864"/>
    <w:rsid w:val="000C3A12"/>
    <w:rsid w:val="000C63D4"/>
    <w:rsid w:val="000C6DDB"/>
    <w:rsid w:val="000D012A"/>
    <w:rsid w:val="000D32D1"/>
    <w:rsid w:val="000D3A66"/>
    <w:rsid w:val="000D7BE0"/>
    <w:rsid w:val="000E00B3"/>
    <w:rsid w:val="000E0CEE"/>
    <w:rsid w:val="000F07ED"/>
    <w:rsid w:val="000F5C15"/>
    <w:rsid w:val="000F6DE9"/>
    <w:rsid w:val="000F7AAA"/>
    <w:rsid w:val="00101779"/>
    <w:rsid w:val="00102D14"/>
    <w:rsid w:val="0010575C"/>
    <w:rsid w:val="001075C5"/>
    <w:rsid w:val="00110162"/>
    <w:rsid w:val="00110AB1"/>
    <w:rsid w:val="00111E29"/>
    <w:rsid w:val="001144F3"/>
    <w:rsid w:val="00116424"/>
    <w:rsid w:val="0011765C"/>
    <w:rsid w:val="0013175E"/>
    <w:rsid w:val="00134A05"/>
    <w:rsid w:val="00136D32"/>
    <w:rsid w:val="00144D1C"/>
    <w:rsid w:val="001468D1"/>
    <w:rsid w:val="00150380"/>
    <w:rsid w:val="00150E4C"/>
    <w:rsid w:val="00153034"/>
    <w:rsid w:val="001544AF"/>
    <w:rsid w:val="00154FDE"/>
    <w:rsid w:val="00160DDE"/>
    <w:rsid w:val="00162224"/>
    <w:rsid w:val="001661CC"/>
    <w:rsid w:val="0016798C"/>
    <w:rsid w:val="00171EF9"/>
    <w:rsid w:val="00174D83"/>
    <w:rsid w:val="00177241"/>
    <w:rsid w:val="00182D83"/>
    <w:rsid w:val="00186519"/>
    <w:rsid w:val="00191216"/>
    <w:rsid w:val="00192C53"/>
    <w:rsid w:val="00195263"/>
    <w:rsid w:val="001962BD"/>
    <w:rsid w:val="001B2F26"/>
    <w:rsid w:val="001B6921"/>
    <w:rsid w:val="001C15D9"/>
    <w:rsid w:val="001D119F"/>
    <w:rsid w:val="001D2461"/>
    <w:rsid w:val="001E0859"/>
    <w:rsid w:val="001E1CE6"/>
    <w:rsid w:val="001F041B"/>
    <w:rsid w:val="001F049D"/>
    <w:rsid w:val="001F1A0A"/>
    <w:rsid w:val="001F7260"/>
    <w:rsid w:val="00202A34"/>
    <w:rsid w:val="0020541E"/>
    <w:rsid w:val="00206B9B"/>
    <w:rsid w:val="00206E38"/>
    <w:rsid w:val="00214F5D"/>
    <w:rsid w:val="00215A83"/>
    <w:rsid w:val="002179CC"/>
    <w:rsid w:val="0022022D"/>
    <w:rsid w:val="00222889"/>
    <w:rsid w:val="00233CC7"/>
    <w:rsid w:val="00234C92"/>
    <w:rsid w:val="00237281"/>
    <w:rsid w:val="00237555"/>
    <w:rsid w:val="00240736"/>
    <w:rsid w:val="00241FEB"/>
    <w:rsid w:val="002451FC"/>
    <w:rsid w:val="00246E1E"/>
    <w:rsid w:val="0025343A"/>
    <w:rsid w:val="00255E63"/>
    <w:rsid w:val="00257C29"/>
    <w:rsid w:val="00264193"/>
    <w:rsid w:val="00264C57"/>
    <w:rsid w:val="00265060"/>
    <w:rsid w:val="002679D2"/>
    <w:rsid w:val="00271F6A"/>
    <w:rsid w:val="00275187"/>
    <w:rsid w:val="00276942"/>
    <w:rsid w:val="0028136C"/>
    <w:rsid w:val="00281CE1"/>
    <w:rsid w:val="0028696D"/>
    <w:rsid w:val="0029127B"/>
    <w:rsid w:val="00292B97"/>
    <w:rsid w:val="00293F3F"/>
    <w:rsid w:val="00295026"/>
    <w:rsid w:val="002953D2"/>
    <w:rsid w:val="00297D22"/>
    <w:rsid w:val="002A0786"/>
    <w:rsid w:val="002A43DB"/>
    <w:rsid w:val="002A5439"/>
    <w:rsid w:val="002B0DB5"/>
    <w:rsid w:val="002B2207"/>
    <w:rsid w:val="002B2AA3"/>
    <w:rsid w:val="002B503B"/>
    <w:rsid w:val="002B5862"/>
    <w:rsid w:val="002B5A34"/>
    <w:rsid w:val="002B77AC"/>
    <w:rsid w:val="002B7AEA"/>
    <w:rsid w:val="002D13CB"/>
    <w:rsid w:val="002D393D"/>
    <w:rsid w:val="002D4A24"/>
    <w:rsid w:val="002D5E88"/>
    <w:rsid w:val="002D75F1"/>
    <w:rsid w:val="002E104C"/>
    <w:rsid w:val="002E3674"/>
    <w:rsid w:val="002E653D"/>
    <w:rsid w:val="002E6716"/>
    <w:rsid w:val="002F1807"/>
    <w:rsid w:val="002F67BD"/>
    <w:rsid w:val="002F719F"/>
    <w:rsid w:val="00300F01"/>
    <w:rsid w:val="00305D0E"/>
    <w:rsid w:val="00305DCE"/>
    <w:rsid w:val="00305EF8"/>
    <w:rsid w:val="003138AF"/>
    <w:rsid w:val="00313F7A"/>
    <w:rsid w:val="00314641"/>
    <w:rsid w:val="003175E7"/>
    <w:rsid w:val="00323C55"/>
    <w:rsid w:val="00324EFD"/>
    <w:rsid w:val="00326545"/>
    <w:rsid w:val="00336CAD"/>
    <w:rsid w:val="003404B4"/>
    <w:rsid w:val="003431C4"/>
    <w:rsid w:val="003470B8"/>
    <w:rsid w:val="0035100B"/>
    <w:rsid w:val="00353445"/>
    <w:rsid w:val="00355708"/>
    <w:rsid w:val="003563AF"/>
    <w:rsid w:val="003566EF"/>
    <w:rsid w:val="00360594"/>
    <w:rsid w:val="0036110D"/>
    <w:rsid w:val="003619B3"/>
    <w:rsid w:val="00367324"/>
    <w:rsid w:val="00371AFB"/>
    <w:rsid w:val="00373D8D"/>
    <w:rsid w:val="00373E43"/>
    <w:rsid w:val="003741FE"/>
    <w:rsid w:val="0037591C"/>
    <w:rsid w:val="00377EE0"/>
    <w:rsid w:val="00382088"/>
    <w:rsid w:val="00384A87"/>
    <w:rsid w:val="003857A6"/>
    <w:rsid w:val="0038736C"/>
    <w:rsid w:val="00397EB6"/>
    <w:rsid w:val="003A021C"/>
    <w:rsid w:val="003A4FFE"/>
    <w:rsid w:val="003A703B"/>
    <w:rsid w:val="003B1672"/>
    <w:rsid w:val="003B2E0A"/>
    <w:rsid w:val="003C02FD"/>
    <w:rsid w:val="003C3B1B"/>
    <w:rsid w:val="003C41BB"/>
    <w:rsid w:val="003E36A5"/>
    <w:rsid w:val="003E52FA"/>
    <w:rsid w:val="003E6DE8"/>
    <w:rsid w:val="003F0142"/>
    <w:rsid w:val="003F186C"/>
    <w:rsid w:val="003F4339"/>
    <w:rsid w:val="003F4DA8"/>
    <w:rsid w:val="003F5502"/>
    <w:rsid w:val="003F66F9"/>
    <w:rsid w:val="003F69EE"/>
    <w:rsid w:val="004053DE"/>
    <w:rsid w:val="004100DE"/>
    <w:rsid w:val="0041072F"/>
    <w:rsid w:val="00412FD4"/>
    <w:rsid w:val="00413B35"/>
    <w:rsid w:val="00414176"/>
    <w:rsid w:val="004148F3"/>
    <w:rsid w:val="00414B6A"/>
    <w:rsid w:val="0042099D"/>
    <w:rsid w:val="0042160E"/>
    <w:rsid w:val="00422841"/>
    <w:rsid w:val="00422901"/>
    <w:rsid w:val="004241C1"/>
    <w:rsid w:val="004247DB"/>
    <w:rsid w:val="0043254D"/>
    <w:rsid w:val="00433C7A"/>
    <w:rsid w:val="00435AE5"/>
    <w:rsid w:val="00437768"/>
    <w:rsid w:val="004406F4"/>
    <w:rsid w:val="00443953"/>
    <w:rsid w:val="0044453E"/>
    <w:rsid w:val="004462DB"/>
    <w:rsid w:val="004508F6"/>
    <w:rsid w:val="00452B3E"/>
    <w:rsid w:val="004543F9"/>
    <w:rsid w:val="00455011"/>
    <w:rsid w:val="004705E0"/>
    <w:rsid w:val="0047373C"/>
    <w:rsid w:val="0047442A"/>
    <w:rsid w:val="0047640D"/>
    <w:rsid w:val="004767EE"/>
    <w:rsid w:val="00476BE5"/>
    <w:rsid w:val="004809BF"/>
    <w:rsid w:val="00481298"/>
    <w:rsid w:val="0049239F"/>
    <w:rsid w:val="004A5F64"/>
    <w:rsid w:val="004B46E0"/>
    <w:rsid w:val="004B7A84"/>
    <w:rsid w:val="004D1FD4"/>
    <w:rsid w:val="004D3DBF"/>
    <w:rsid w:val="004D59FC"/>
    <w:rsid w:val="004D7060"/>
    <w:rsid w:val="004E13AD"/>
    <w:rsid w:val="004E2426"/>
    <w:rsid w:val="004E5639"/>
    <w:rsid w:val="004E60E9"/>
    <w:rsid w:val="004E6192"/>
    <w:rsid w:val="004F0FEE"/>
    <w:rsid w:val="004F2993"/>
    <w:rsid w:val="0050680A"/>
    <w:rsid w:val="0051065C"/>
    <w:rsid w:val="00510E4B"/>
    <w:rsid w:val="00513495"/>
    <w:rsid w:val="00514A0C"/>
    <w:rsid w:val="00515568"/>
    <w:rsid w:val="00515DFA"/>
    <w:rsid w:val="00516A22"/>
    <w:rsid w:val="0052008C"/>
    <w:rsid w:val="005222CD"/>
    <w:rsid w:val="005315AF"/>
    <w:rsid w:val="00531F7A"/>
    <w:rsid w:val="00535505"/>
    <w:rsid w:val="005373E9"/>
    <w:rsid w:val="00540B79"/>
    <w:rsid w:val="00544DEB"/>
    <w:rsid w:val="0054788E"/>
    <w:rsid w:val="00551320"/>
    <w:rsid w:val="005535E7"/>
    <w:rsid w:val="00555ED9"/>
    <w:rsid w:val="0055756A"/>
    <w:rsid w:val="0056128B"/>
    <w:rsid w:val="005614DB"/>
    <w:rsid w:val="005619D7"/>
    <w:rsid w:val="00572B67"/>
    <w:rsid w:val="00572F34"/>
    <w:rsid w:val="005741B0"/>
    <w:rsid w:val="0057548B"/>
    <w:rsid w:val="00581828"/>
    <w:rsid w:val="00583A0B"/>
    <w:rsid w:val="00585141"/>
    <w:rsid w:val="00587701"/>
    <w:rsid w:val="00590883"/>
    <w:rsid w:val="005A028E"/>
    <w:rsid w:val="005A5EE8"/>
    <w:rsid w:val="005A68C6"/>
    <w:rsid w:val="005A7A22"/>
    <w:rsid w:val="005B3B7C"/>
    <w:rsid w:val="005B42B4"/>
    <w:rsid w:val="005C22C2"/>
    <w:rsid w:val="005C46E2"/>
    <w:rsid w:val="005D076E"/>
    <w:rsid w:val="005D1010"/>
    <w:rsid w:val="005D559B"/>
    <w:rsid w:val="005D5B50"/>
    <w:rsid w:val="005D7AE6"/>
    <w:rsid w:val="005E1632"/>
    <w:rsid w:val="005E1E14"/>
    <w:rsid w:val="005E2905"/>
    <w:rsid w:val="005E2B41"/>
    <w:rsid w:val="005E4DB4"/>
    <w:rsid w:val="005E682E"/>
    <w:rsid w:val="005E69F5"/>
    <w:rsid w:val="005E6ECD"/>
    <w:rsid w:val="005F1467"/>
    <w:rsid w:val="005F212E"/>
    <w:rsid w:val="005F2945"/>
    <w:rsid w:val="005F3352"/>
    <w:rsid w:val="005F5120"/>
    <w:rsid w:val="005F5D31"/>
    <w:rsid w:val="005F72E7"/>
    <w:rsid w:val="005F7A03"/>
    <w:rsid w:val="006113C0"/>
    <w:rsid w:val="006125C0"/>
    <w:rsid w:val="00613BFE"/>
    <w:rsid w:val="00614AA5"/>
    <w:rsid w:val="00614E84"/>
    <w:rsid w:val="00615095"/>
    <w:rsid w:val="00624B60"/>
    <w:rsid w:val="0062678A"/>
    <w:rsid w:val="006270D7"/>
    <w:rsid w:val="006303B9"/>
    <w:rsid w:val="006342A4"/>
    <w:rsid w:val="006364BF"/>
    <w:rsid w:val="0064088F"/>
    <w:rsid w:val="00642FD8"/>
    <w:rsid w:val="006445FA"/>
    <w:rsid w:val="00646E3D"/>
    <w:rsid w:val="0065141E"/>
    <w:rsid w:val="006522CF"/>
    <w:rsid w:val="006528BD"/>
    <w:rsid w:val="00654BB8"/>
    <w:rsid w:val="0066177B"/>
    <w:rsid w:val="00667913"/>
    <w:rsid w:val="00667E89"/>
    <w:rsid w:val="00670CA2"/>
    <w:rsid w:val="0067180E"/>
    <w:rsid w:val="00673F08"/>
    <w:rsid w:val="00674E08"/>
    <w:rsid w:val="00674F9D"/>
    <w:rsid w:val="00676F57"/>
    <w:rsid w:val="006803DB"/>
    <w:rsid w:val="00680787"/>
    <w:rsid w:val="00682D01"/>
    <w:rsid w:val="00685E11"/>
    <w:rsid w:val="0069127B"/>
    <w:rsid w:val="00692225"/>
    <w:rsid w:val="00694764"/>
    <w:rsid w:val="006A779A"/>
    <w:rsid w:val="006B0280"/>
    <w:rsid w:val="006B44E9"/>
    <w:rsid w:val="006B51ED"/>
    <w:rsid w:val="006C364A"/>
    <w:rsid w:val="006C55CF"/>
    <w:rsid w:val="006C6C4C"/>
    <w:rsid w:val="006D21CD"/>
    <w:rsid w:val="006D770F"/>
    <w:rsid w:val="006E2CD8"/>
    <w:rsid w:val="006E7FBA"/>
    <w:rsid w:val="006F3158"/>
    <w:rsid w:val="006F348F"/>
    <w:rsid w:val="00705D7E"/>
    <w:rsid w:val="007104DE"/>
    <w:rsid w:val="00711D06"/>
    <w:rsid w:val="007157FA"/>
    <w:rsid w:val="00721BB6"/>
    <w:rsid w:val="007231FA"/>
    <w:rsid w:val="007260DB"/>
    <w:rsid w:val="007279FF"/>
    <w:rsid w:val="00731AD1"/>
    <w:rsid w:val="007404F8"/>
    <w:rsid w:val="00741AE8"/>
    <w:rsid w:val="00744331"/>
    <w:rsid w:val="0075030F"/>
    <w:rsid w:val="00752B12"/>
    <w:rsid w:val="00752E0F"/>
    <w:rsid w:val="00752EB6"/>
    <w:rsid w:val="00753868"/>
    <w:rsid w:val="00753997"/>
    <w:rsid w:val="00753D34"/>
    <w:rsid w:val="00756B12"/>
    <w:rsid w:val="00760C8F"/>
    <w:rsid w:val="00764314"/>
    <w:rsid w:val="007675E1"/>
    <w:rsid w:val="00771C54"/>
    <w:rsid w:val="00772076"/>
    <w:rsid w:val="007776E1"/>
    <w:rsid w:val="00777BD1"/>
    <w:rsid w:val="00781EC8"/>
    <w:rsid w:val="00783253"/>
    <w:rsid w:val="00784C7E"/>
    <w:rsid w:val="007912A2"/>
    <w:rsid w:val="007956BA"/>
    <w:rsid w:val="007957A0"/>
    <w:rsid w:val="007966A3"/>
    <w:rsid w:val="007A0801"/>
    <w:rsid w:val="007A0CC8"/>
    <w:rsid w:val="007A0F8D"/>
    <w:rsid w:val="007A1300"/>
    <w:rsid w:val="007A19CA"/>
    <w:rsid w:val="007A7908"/>
    <w:rsid w:val="007B29CD"/>
    <w:rsid w:val="007B7894"/>
    <w:rsid w:val="007C0AE7"/>
    <w:rsid w:val="007C1F38"/>
    <w:rsid w:val="007C3AC8"/>
    <w:rsid w:val="007D609E"/>
    <w:rsid w:val="007E4EB6"/>
    <w:rsid w:val="007E7B0A"/>
    <w:rsid w:val="007F2BFB"/>
    <w:rsid w:val="007F37D0"/>
    <w:rsid w:val="007F5260"/>
    <w:rsid w:val="007F52D2"/>
    <w:rsid w:val="007F7DE3"/>
    <w:rsid w:val="008023BB"/>
    <w:rsid w:val="0080266B"/>
    <w:rsid w:val="00804B06"/>
    <w:rsid w:val="0080524D"/>
    <w:rsid w:val="00805FD3"/>
    <w:rsid w:val="008109A6"/>
    <w:rsid w:val="00814E19"/>
    <w:rsid w:val="00816EE2"/>
    <w:rsid w:val="00822E63"/>
    <w:rsid w:val="00827B90"/>
    <w:rsid w:val="008312E7"/>
    <w:rsid w:val="00833FA6"/>
    <w:rsid w:val="00840242"/>
    <w:rsid w:val="0084147B"/>
    <w:rsid w:val="0084181F"/>
    <w:rsid w:val="00841B35"/>
    <w:rsid w:val="00845CAA"/>
    <w:rsid w:val="008517D8"/>
    <w:rsid w:val="00852218"/>
    <w:rsid w:val="00861095"/>
    <w:rsid w:val="00862F98"/>
    <w:rsid w:val="00863CEE"/>
    <w:rsid w:val="00866779"/>
    <w:rsid w:val="008669DA"/>
    <w:rsid w:val="00866C0D"/>
    <w:rsid w:val="00866CF6"/>
    <w:rsid w:val="008735EB"/>
    <w:rsid w:val="00874CE4"/>
    <w:rsid w:val="008811C3"/>
    <w:rsid w:val="00890223"/>
    <w:rsid w:val="00894891"/>
    <w:rsid w:val="0089667D"/>
    <w:rsid w:val="00896D96"/>
    <w:rsid w:val="008A4D1C"/>
    <w:rsid w:val="008A610A"/>
    <w:rsid w:val="008A74C7"/>
    <w:rsid w:val="008A75D8"/>
    <w:rsid w:val="008B0316"/>
    <w:rsid w:val="008B2E30"/>
    <w:rsid w:val="008B4CAC"/>
    <w:rsid w:val="008B57A7"/>
    <w:rsid w:val="008B7F8E"/>
    <w:rsid w:val="008C0E86"/>
    <w:rsid w:val="008C2A83"/>
    <w:rsid w:val="008C2F7F"/>
    <w:rsid w:val="008C5F0B"/>
    <w:rsid w:val="008C735A"/>
    <w:rsid w:val="008D317A"/>
    <w:rsid w:val="008D340C"/>
    <w:rsid w:val="008D56CC"/>
    <w:rsid w:val="008E190E"/>
    <w:rsid w:val="008E3DA5"/>
    <w:rsid w:val="008E52BA"/>
    <w:rsid w:val="008E6A40"/>
    <w:rsid w:val="008F0503"/>
    <w:rsid w:val="008F530C"/>
    <w:rsid w:val="008F7FF3"/>
    <w:rsid w:val="0090399F"/>
    <w:rsid w:val="0091670B"/>
    <w:rsid w:val="00916E62"/>
    <w:rsid w:val="00917095"/>
    <w:rsid w:val="0092452D"/>
    <w:rsid w:val="00927AF7"/>
    <w:rsid w:val="009304AB"/>
    <w:rsid w:val="00933BA4"/>
    <w:rsid w:val="00933C1B"/>
    <w:rsid w:val="00933E0E"/>
    <w:rsid w:val="00942B57"/>
    <w:rsid w:val="0094645C"/>
    <w:rsid w:val="009477E9"/>
    <w:rsid w:val="009529C6"/>
    <w:rsid w:val="00953A3B"/>
    <w:rsid w:val="00954732"/>
    <w:rsid w:val="0096136A"/>
    <w:rsid w:val="009646A4"/>
    <w:rsid w:val="00975618"/>
    <w:rsid w:val="009767F8"/>
    <w:rsid w:val="0098223A"/>
    <w:rsid w:val="00982B0D"/>
    <w:rsid w:val="00984204"/>
    <w:rsid w:val="00985122"/>
    <w:rsid w:val="00986FBC"/>
    <w:rsid w:val="00987997"/>
    <w:rsid w:val="00990688"/>
    <w:rsid w:val="00992402"/>
    <w:rsid w:val="0099448D"/>
    <w:rsid w:val="00995FED"/>
    <w:rsid w:val="0099615A"/>
    <w:rsid w:val="00996BCD"/>
    <w:rsid w:val="009A03D8"/>
    <w:rsid w:val="009A1EAA"/>
    <w:rsid w:val="009A754F"/>
    <w:rsid w:val="009B0EB2"/>
    <w:rsid w:val="009B3C2B"/>
    <w:rsid w:val="009B4906"/>
    <w:rsid w:val="009B6D0C"/>
    <w:rsid w:val="009C12CC"/>
    <w:rsid w:val="009C13AF"/>
    <w:rsid w:val="009C1653"/>
    <w:rsid w:val="009D1DF5"/>
    <w:rsid w:val="009D22F5"/>
    <w:rsid w:val="009D2AE8"/>
    <w:rsid w:val="009D5104"/>
    <w:rsid w:val="009E214F"/>
    <w:rsid w:val="009E3AE5"/>
    <w:rsid w:val="009E540B"/>
    <w:rsid w:val="009E6A8D"/>
    <w:rsid w:val="009F1299"/>
    <w:rsid w:val="009F5127"/>
    <w:rsid w:val="009F5684"/>
    <w:rsid w:val="00A00536"/>
    <w:rsid w:val="00A0111E"/>
    <w:rsid w:val="00A02783"/>
    <w:rsid w:val="00A04CF2"/>
    <w:rsid w:val="00A057AB"/>
    <w:rsid w:val="00A06D2B"/>
    <w:rsid w:val="00A102A9"/>
    <w:rsid w:val="00A10643"/>
    <w:rsid w:val="00A127F3"/>
    <w:rsid w:val="00A155CB"/>
    <w:rsid w:val="00A21E6D"/>
    <w:rsid w:val="00A22432"/>
    <w:rsid w:val="00A229E2"/>
    <w:rsid w:val="00A23077"/>
    <w:rsid w:val="00A2370D"/>
    <w:rsid w:val="00A24109"/>
    <w:rsid w:val="00A25191"/>
    <w:rsid w:val="00A2609F"/>
    <w:rsid w:val="00A26A37"/>
    <w:rsid w:val="00A27695"/>
    <w:rsid w:val="00A30729"/>
    <w:rsid w:val="00A333B5"/>
    <w:rsid w:val="00A3373B"/>
    <w:rsid w:val="00A371D5"/>
    <w:rsid w:val="00A43E3D"/>
    <w:rsid w:val="00A457CD"/>
    <w:rsid w:val="00A45C9B"/>
    <w:rsid w:val="00A5011E"/>
    <w:rsid w:val="00A5084A"/>
    <w:rsid w:val="00A50CFF"/>
    <w:rsid w:val="00A51EC9"/>
    <w:rsid w:val="00A614A4"/>
    <w:rsid w:val="00A614BA"/>
    <w:rsid w:val="00A61C91"/>
    <w:rsid w:val="00A62FB8"/>
    <w:rsid w:val="00A707B8"/>
    <w:rsid w:val="00A763AF"/>
    <w:rsid w:val="00A768A2"/>
    <w:rsid w:val="00A77A23"/>
    <w:rsid w:val="00A801E4"/>
    <w:rsid w:val="00A806A0"/>
    <w:rsid w:val="00A865C7"/>
    <w:rsid w:val="00A922B5"/>
    <w:rsid w:val="00A95595"/>
    <w:rsid w:val="00AA31D0"/>
    <w:rsid w:val="00AA7086"/>
    <w:rsid w:val="00AB2A90"/>
    <w:rsid w:val="00AB4085"/>
    <w:rsid w:val="00AB4275"/>
    <w:rsid w:val="00AB57BB"/>
    <w:rsid w:val="00AB6738"/>
    <w:rsid w:val="00AC0F5B"/>
    <w:rsid w:val="00AC1EBA"/>
    <w:rsid w:val="00AC42EA"/>
    <w:rsid w:val="00AC5A54"/>
    <w:rsid w:val="00AC6C6D"/>
    <w:rsid w:val="00AD06DD"/>
    <w:rsid w:val="00AD0CA3"/>
    <w:rsid w:val="00AD3251"/>
    <w:rsid w:val="00AE0CAD"/>
    <w:rsid w:val="00AE17F7"/>
    <w:rsid w:val="00AE2E0C"/>
    <w:rsid w:val="00AF0E36"/>
    <w:rsid w:val="00AF3285"/>
    <w:rsid w:val="00AF4343"/>
    <w:rsid w:val="00AF53DE"/>
    <w:rsid w:val="00AF59E7"/>
    <w:rsid w:val="00B01344"/>
    <w:rsid w:val="00B064EE"/>
    <w:rsid w:val="00B0655A"/>
    <w:rsid w:val="00B06922"/>
    <w:rsid w:val="00B114C1"/>
    <w:rsid w:val="00B15E0D"/>
    <w:rsid w:val="00B16849"/>
    <w:rsid w:val="00B2093F"/>
    <w:rsid w:val="00B22C8F"/>
    <w:rsid w:val="00B31D15"/>
    <w:rsid w:val="00B33802"/>
    <w:rsid w:val="00B5067B"/>
    <w:rsid w:val="00B568CA"/>
    <w:rsid w:val="00B61C69"/>
    <w:rsid w:val="00B629F5"/>
    <w:rsid w:val="00B63DDF"/>
    <w:rsid w:val="00B63E6A"/>
    <w:rsid w:val="00B6432A"/>
    <w:rsid w:val="00B645BA"/>
    <w:rsid w:val="00B741BB"/>
    <w:rsid w:val="00B74A7F"/>
    <w:rsid w:val="00B75EF7"/>
    <w:rsid w:val="00B8490C"/>
    <w:rsid w:val="00B84B83"/>
    <w:rsid w:val="00B86112"/>
    <w:rsid w:val="00B86976"/>
    <w:rsid w:val="00B95AAD"/>
    <w:rsid w:val="00B95EE4"/>
    <w:rsid w:val="00BA12A3"/>
    <w:rsid w:val="00BA7C0F"/>
    <w:rsid w:val="00BB469E"/>
    <w:rsid w:val="00BB4F31"/>
    <w:rsid w:val="00BB5D72"/>
    <w:rsid w:val="00BB6896"/>
    <w:rsid w:val="00BC1EC1"/>
    <w:rsid w:val="00BC2296"/>
    <w:rsid w:val="00BC3C54"/>
    <w:rsid w:val="00BD19B6"/>
    <w:rsid w:val="00BD799C"/>
    <w:rsid w:val="00BD7F4D"/>
    <w:rsid w:val="00BE1E16"/>
    <w:rsid w:val="00BE513D"/>
    <w:rsid w:val="00BE75B8"/>
    <w:rsid w:val="00BF16BF"/>
    <w:rsid w:val="00BF3320"/>
    <w:rsid w:val="00BF4F81"/>
    <w:rsid w:val="00BF7F29"/>
    <w:rsid w:val="00C06788"/>
    <w:rsid w:val="00C06C8D"/>
    <w:rsid w:val="00C1100C"/>
    <w:rsid w:val="00C11301"/>
    <w:rsid w:val="00C12F82"/>
    <w:rsid w:val="00C14086"/>
    <w:rsid w:val="00C2209E"/>
    <w:rsid w:val="00C25DFA"/>
    <w:rsid w:val="00C3297E"/>
    <w:rsid w:val="00C34399"/>
    <w:rsid w:val="00C344AB"/>
    <w:rsid w:val="00C359A6"/>
    <w:rsid w:val="00C35BB4"/>
    <w:rsid w:val="00C35F9E"/>
    <w:rsid w:val="00C42D9A"/>
    <w:rsid w:val="00C44DC0"/>
    <w:rsid w:val="00C44F7D"/>
    <w:rsid w:val="00C46D8E"/>
    <w:rsid w:val="00C500DD"/>
    <w:rsid w:val="00C5068C"/>
    <w:rsid w:val="00C510DB"/>
    <w:rsid w:val="00C5260F"/>
    <w:rsid w:val="00C56779"/>
    <w:rsid w:val="00C57242"/>
    <w:rsid w:val="00C67263"/>
    <w:rsid w:val="00C7104C"/>
    <w:rsid w:val="00C75D2B"/>
    <w:rsid w:val="00C77429"/>
    <w:rsid w:val="00C83A34"/>
    <w:rsid w:val="00C85FE4"/>
    <w:rsid w:val="00C8644F"/>
    <w:rsid w:val="00C92016"/>
    <w:rsid w:val="00C94F32"/>
    <w:rsid w:val="00C9725C"/>
    <w:rsid w:val="00C973A4"/>
    <w:rsid w:val="00CA15B1"/>
    <w:rsid w:val="00CA2E4F"/>
    <w:rsid w:val="00CA52E4"/>
    <w:rsid w:val="00CB5BB7"/>
    <w:rsid w:val="00CB6B9E"/>
    <w:rsid w:val="00CC3B23"/>
    <w:rsid w:val="00CD1C53"/>
    <w:rsid w:val="00CD50E0"/>
    <w:rsid w:val="00CE034D"/>
    <w:rsid w:val="00CE5393"/>
    <w:rsid w:val="00CF1F18"/>
    <w:rsid w:val="00CF40E1"/>
    <w:rsid w:val="00CF75E5"/>
    <w:rsid w:val="00D00D80"/>
    <w:rsid w:val="00D018FB"/>
    <w:rsid w:val="00D06D82"/>
    <w:rsid w:val="00D1216D"/>
    <w:rsid w:val="00D167D4"/>
    <w:rsid w:val="00D20B18"/>
    <w:rsid w:val="00D2412D"/>
    <w:rsid w:val="00D27AB0"/>
    <w:rsid w:val="00D3097C"/>
    <w:rsid w:val="00D31B85"/>
    <w:rsid w:val="00D32216"/>
    <w:rsid w:val="00D33145"/>
    <w:rsid w:val="00D35DEC"/>
    <w:rsid w:val="00D424CE"/>
    <w:rsid w:val="00D42717"/>
    <w:rsid w:val="00D55ABA"/>
    <w:rsid w:val="00D63504"/>
    <w:rsid w:val="00D641AA"/>
    <w:rsid w:val="00D6557C"/>
    <w:rsid w:val="00D6780A"/>
    <w:rsid w:val="00D72FAF"/>
    <w:rsid w:val="00D73360"/>
    <w:rsid w:val="00D74640"/>
    <w:rsid w:val="00D75169"/>
    <w:rsid w:val="00D81B81"/>
    <w:rsid w:val="00D86379"/>
    <w:rsid w:val="00D879B4"/>
    <w:rsid w:val="00D92ED9"/>
    <w:rsid w:val="00D935F8"/>
    <w:rsid w:val="00D93C28"/>
    <w:rsid w:val="00D960C5"/>
    <w:rsid w:val="00D97E28"/>
    <w:rsid w:val="00DA1FAB"/>
    <w:rsid w:val="00DA3EC6"/>
    <w:rsid w:val="00DA691D"/>
    <w:rsid w:val="00DA6CD8"/>
    <w:rsid w:val="00DB3786"/>
    <w:rsid w:val="00DB450A"/>
    <w:rsid w:val="00DB5029"/>
    <w:rsid w:val="00DC005B"/>
    <w:rsid w:val="00DC0F01"/>
    <w:rsid w:val="00DC255E"/>
    <w:rsid w:val="00DC2E0F"/>
    <w:rsid w:val="00DD05B9"/>
    <w:rsid w:val="00DD0C0A"/>
    <w:rsid w:val="00DD1331"/>
    <w:rsid w:val="00DD1339"/>
    <w:rsid w:val="00DD4B40"/>
    <w:rsid w:val="00DD61B1"/>
    <w:rsid w:val="00DD7489"/>
    <w:rsid w:val="00DE1F5C"/>
    <w:rsid w:val="00DF3BA3"/>
    <w:rsid w:val="00DF51B3"/>
    <w:rsid w:val="00E016B7"/>
    <w:rsid w:val="00E0318A"/>
    <w:rsid w:val="00E079C5"/>
    <w:rsid w:val="00E101BA"/>
    <w:rsid w:val="00E140EB"/>
    <w:rsid w:val="00E24B15"/>
    <w:rsid w:val="00E2749B"/>
    <w:rsid w:val="00E30118"/>
    <w:rsid w:val="00E32188"/>
    <w:rsid w:val="00E348A9"/>
    <w:rsid w:val="00E400D7"/>
    <w:rsid w:val="00E40FA6"/>
    <w:rsid w:val="00E43C87"/>
    <w:rsid w:val="00E44749"/>
    <w:rsid w:val="00E45467"/>
    <w:rsid w:val="00E45B37"/>
    <w:rsid w:val="00E503A9"/>
    <w:rsid w:val="00E55ACA"/>
    <w:rsid w:val="00E5605F"/>
    <w:rsid w:val="00E56F9D"/>
    <w:rsid w:val="00E605C4"/>
    <w:rsid w:val="00E61591"/>
    <w:rsid w:val="00E74600"/>
    <w:rsid w:val="00E75387"/>
    <w:rsid w:val="00E77BBC"/>
    <w:rsid w:val="00E82AB3"/>
    <w:rsid w:val="00E83B5E"/>
    <w:rsid w:val="00E9240B"/>
    <w:rsid w:val="00EA63A4"/>
    <w:rsid w:val="00EA737F"/>
    <w:rsid w:val="00EB39FB"/>
    <w:rsid w:val="00EC3B38"/>
    <w:rsid w:val="00EC50CA"/>
    <w:rsid w:val="00EC6BFE"/>
    <w:rsid w:val="00EC733A"/>
    <w:rsid w:val="00EC76F2"/>
    <w:rsid w:val="00EE0B77"/>
    <w:rsid w:val="00EE123A"/>
    <w:rsid w:val="00EE2FBE"/>
    <w:rsid w:val="00EE378F"/>
    <w:rsid w:val="00EE50DA"/>
    <w:rsid w:val="00EE61CD"/>
    <w:rsid w:val="00EF1A65"/>
    <w:rsid w:val="00EF3DDF"/>
    <w:rsid w:val="00F044B9"/>
    <w:rsid w:val="00F105E0"/>
    <w:rsid w:val="00F160E5"/>
    <w:rsid w:val="00F222D5"/>
    <w:rsid w:val="00F22EF1"/>
    <w:rsid w:val="00F2444C"/>
    <w:rsid w:val="00F254F2"/>
    <w:rsid w:val="00F2586F"/>
    <w:rsid w:val="00F27331"/>
    <w:rsid w:val="00F323E6"/>
    <w:rsid w:val="00F334C2"/>
    <w:rsid w:val="00F36226"/>
    <w:rsid w:val="00F40DC9"/>
    <w:rsid w:val="00F41E24"/>
    <w:rsid w:val="00F43132"/>
    <w:rsid w:val="00F450B2"/>
    <w:rsid w:val="00F450FB"/>
    <w:rsid w:val="00F45C84"/>
    <w:rsid w:val="00F51B86"/>
    <w:rsid w:val="00F53A5D"/>
    <w:rsid w:val="00F54BD7"/>
    <w:rsid w:val="00F56E40"/>
    <w:rsid w:val="00F63218"/>
    <w:rsid w:val="00F669D5"/>
    <w:rsid w:val="00F67EFD"/>
    <w:rsid w:val="00F77121"/>
    <w:rsid w:val="00F77B3A"/>
    <w:rsid w:val="00F82B62"/>
    <w:rsid w:val="00F85124"/>
    <w:rsid w:val="00F852B7"/>
    <w:rsid w:val="00F853CD"/>
    <w:rsid w:val="00F90AA1"/>
    <w:rsid w:val="00F94759"/>
    <w:rsid w:val="00FB299E"/>
    <w:rsid w:val="00FB3CB6"/>
    <w:rsid w:val="00FB459C"/>
    <w:rsid w:val="00FB47D5"/>
    <w:rsid w:val="00FB5140"/>
    <w:rsid w:val="00FB585A"/>
    <w:rsid w:val="00FB65F7"/>
    <w:rsid w:val="00FB70DC"/>
    <w:rsid w:val="00FB76C2"/>
    <w:rsid w:val="00FC3FE3"/>
    <w:rsid w:val="00FD0BDE"/>
    <w:rsid w:val="00FD0DA8"/>
    <w:rsid w:val="00FD1610"/>
    <w:rsid w:val="00FD3095"/>
    <w:rsid w:val="00FD4734"/>
    <w:rsid w:val="00FE0601"/>
    <w:rsid w:val="00FE197A"/>
    <w:rsid w:val="00FE2254"/>
    <w:rsid w:val="00FE2974"/>
    <w:rsid w:val="00FE3811"/>
    <w:rsid w:val="00FE47FA"/>
    <w:rsid w:val="00FF1D43"/>
    <w:rsid w:val="00FF4D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9561"/>
  <w15:docId w15:val="{2E7BDD20-365E-416B-B3F7-AC1A5866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22F5"/>
    <w:rPr>
      <w:sz w:val="24"/>
      <w:szCs w:val="24"/>
    </w:rPr>
  </w:style>
  <w:style w:type="paragraph" w:styleId="Naslov1">
    <w:name w:val="heading 1"/>
    <w:basedOn w:val="Navaden"/>
    <w:link w:val="Naslov1Znak"/>
    <w:qFormat/>
    <w:pPr>
      <w:numPr>
        <w:numId w:val="1"/>
      </w:numPr>
      <w:suppressLineNumbers/>
      <w:jc w:val="both"/>
      <w:outlineLvl w:val="0"/>
    </w:pPr>
    <w:rPr>
      <w:rFonts w:ascii="SLO Arial" w:hAnsi="SLO Arial"/>
      <w:b/>
      <w:i/>
      <w:caps/>
      <w:sz w:val="28"/>
      <w:szCs w:val="20"/>
      <w:lang w:eastAsia="en-US"/>
    </w:rPr>
  </w:style>
  <w:style w:type="paragraph" w:styleId="Naslov2">
    <w:name w:val="heading 2"/>
    <w:basedOn w:val="Naslov1"/>
    <w:next w:val="Navaden"/>
    <w:link w:val="Naslov2Znak"/>
    <w:qFormat/>
    <w:pPr>
      <w:keepNext/>
      <w:numPr>
        <w:ilvl w:val="1"/>
      </w:numPr>
      <w:outlineLvl w:val="1"/>
    </w:pPr>
    <w:rPr>
      <w:rFonts w:ascii="Arial" w:hAnsi="Arial"/>
      <w:i w:val="0"/>
      <w:sz w:val="22"/>
    </w:rPr>
  </w:style>
  <w:style w:type="paragraph" w:styleId="Naslov3">
    <w:name w:val="heading 3"/>
    <w:basedOn w:val="Navaden"/>
    <w:next w:val="Navaden"/>
    <w:qFormat/>
    <w:pPr>
      <w:keepNext/>
      <w:numPr>
        <w:ilvl w:val="2"/>
        <w:numId w:val="1"/>
      </w:numPr>
      <w:jc w:val="both"/>
      <w:outlineLvl w:val="2"/>
    </w:pPr>
    <w:rPr>
      <w:rFonts w:ascii="Arial" w:hAnsi="Arial" w:cs="Arial"/>
      <w:b/>
      <w:i/>
      <w:iCs/>
      <w:sz w:val="22"/>
      <w:szCs w:val="20"/>
      <w:lang w:eastAsia="en-US"/>
    </w:rPr>
  </w:style>
  <w:style w:type="paragraph" w:styleId="Naslov4">
    <w:name w:val="heading 4"/>
    <w:basedOn w:val="Navaden"/>
    <w:next w:val="Navaden"/>
    <w:qFormat/>
    <w:pPr>
      <w:keepNext/>
      <w:numPr>
        <w:ilvl w:val="3"/>
        <w:numId w:val="1"/>
      </w:numPr>
      <w:spacing w:before="240" w:after="60"/>
      <w:jc w:val="both"/>
      <w:outlineLvl w:val="3"/>
    </w:pPr>
    <w:rPr>
      <w:rFonts w:ascii="Arial" w:hAnsi="Arial"/>
      <w:b/>
      <w:snapToGrid w:val="0"/>
      <w:sz w:val="22"/>
      <w:szCs w:val="20"/>
      <w:lang w:eastAsia="en-US"/>
    </w:rPr>
  </w:style>
  <w:style w:type="paragraph" w:styleId="Naslov5">
    <w:name w:val="heading 5"/>
    <w:basedOn w:val="Navaden"/>
    <w:next w:val="Navaden"/>
    <w:qFormat/>
    <w:pPr>
      <w:numPr>
        <w:ilvl w:val="4"/>
        <w:numId w:val="1"/>
      </w:numPr>
      <w:spacing w:before="240" w:after="60"/>
      <w:jc w:val="both"/>
      <w:outlineLvl w:val="4"/>
    </w:pPr>
    <w:rPr>
      <w:rFonts w:ascii="Arial" w:hAnsi="Arial"/>
      <w:sz w:val="22"/>
      <w:szCs w:val="20"/>
      <w:lang w:eastAsia="en-US"/>
    </w:rPr>
  </w:style>
  <w:style w:type="paragraph" w:styleId="Naslov6">
    <w:name w:val="heading 6"/>
    <w:basedOn w:val="Navaden"/>
    <w:next w:val="Navaden"/>
    <w:qFormat/>
    <w:pPr>
      <w:numPr>
        <w:ilvl w:val="5"/>
        <w:numId w:val="1"/>
      </w:numPr>
      <w:spacing w:before="240" w:after="60"/>
      <w:jc w:val="both"/>
      <w:outlineLvl w:val="5"/>
    </w:pPr>
    <w:rPr>
      <w:i/>
      <w:sz w:val="22"/>
      <w:szCs w:val="20"/>
      <w:lang w:eastAsia="en-US"/>
    </w:rPr>
  </w:style>
  <w:style w:type="paragraph" w:styleId="Naslov7">
    <w:name w:val="heading 7"/>
    <w:basedOn w:val="Navaden"/>
    <w:next w:val="Navaden"/>
    <w:qFormat/>
    <w:pPr>
      <w:numPr>
        <w:ilvl w:val="6"/>
        <w:numId w:val="1"/>
      </w:numPr>
      <w:spacing w:before="240" w:after="60"/>
      <w:jc w:val="both"/>
      <w:outlineLvl w:val="6"/>
    </w:pPr>
    <w:rPr>
      <w:rFonts w:ascii="Arial" w:hAnsi="Arial"/>
      <w:sz w:val="20"/>
      <w:szCs w:val="20"/>
      <w:lang w:eastAsia="en-US"/>
    </w:rPr>
  </w:style>
  <w:style w:type="paragraph" w:styleId="Naslov8">
    <w:name w:val="heading 8"/>
    <w:basedOn w:val="Navaden"/>
    <w:next w:val="Navaden"/>
    <w:qFormat/>
    <w:pPr>
      <w:numPr>
        <w:ilvl w:val="7"/>
        <w:numId w:val="1"/>
      </w:numPr>
      <w:spacing w:before="240" w:after="60"/>
      <w:jc w:val="both"/>
      <w:outlineLvl w:val="7"/>
    </w:pPr>
    <w:rPr>
      <w:rFonts w:ascii="Arial" w:hAnsi="Arial"/>
      <w:i/>
      <w:sz w:val="20"/>
      <w:szCs w:val="20"/>
      <w:lang w:eastAsia="en-US"/>
    </w:rPr>
  </w:style>
  <w:style w:type="paragraph" w:styleId="Naslov9">
    <w:name w:val="heading 9"/>
    <w:basedOn w:val="Navaden"/>
    <w:next w:val="Navaden"/>
    <w:qFormat/>
    <w:pPr>
      <w:numPr>
        <w:ilvl w:val="8"/>
        <w:numId w:val="1"/>
      </w:numPr>
      <w:spacing w:before="240" w:after="60"/>
      <w:jc w:val="both"/>
      <w:outlineLvl w:val="8"/>
    </w:pPr>
    <w:rPr>
      <w:rFonts w:ascii="Arial" w:hAnsi="Arial"/>
      <w:b/>
      <w:i/>
      <w:sz w:val="18"/>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1"/>
    <w:uiPriority w:val="99"/>
    <w:pPr>
      <w:tabs>
        <w:tab w:val="center" w:pos="4819"/>
        <w:tab w:val="right" w:pos="9071"/>
      </w:tabs>
      <w:jc w:val="both"/>
    </w:pPr>
    <w:rPr>
      <w:rFonts w:ascii="Arial" w:hAnsi="Arial"/>
      <w:szCs w:val="20"/>
      <w:lang w:eastAsia="en-US"/>
    </w:rPr>
  </w:style>
  <w:style w:type="paragraph" w:customStyle="1" w:styleId="SlogNaslov1Arial12ptNeLeee">
    <w:name w:val="Slog Naslov 1 + Arial 12 pt Ne Ležeče"/>
    <w:basedOn w:val="Naslov1"/>
    <w:autoRedefine/>
    <w:pPr>
      <w:jc w:val="left"/>
    </w:pPr>
    <w:rPr>
      <w:rFonts w:ascii="Arial" w:hAnsi="Arial"/>
      <w:bCs/>
      <w:i w:val="0"/>
      <w:szCs w:val="28"/>
    </w:rPr>
  </w:style>
  <w:style w:type="paragraph" w:styleId="Noga">
    <w:name w:val="footer"/>
    <w:basedOn w:val="Navaden"/>
    <w:link w:val="NogaZnak"/>
    <w:uiPriority w:val="99"/>
    <w:pPr>
      <w:tabs>
        <w:tab w:val="center" w:pos="4153"/>
        <w:tab w:val="right" w:pos="8306"/>
      </w:tabs>
      <w:jc w:val="both"/>
    </w:pPr>
    <w:rPr>
      <w:rFonts w:ascii="Arial" w:hAnsi="Arial"/>
      <w:szCs w:val="20"/>
      <w:lang w:eastAsia="en-US"/>
    </w:rPr>
  </w:style>
  <w:style w:type="paragraph" w:styleId="Telobesedila">
    <w:name w:val="Body Text"/>
    <w:basedOn w:val="Navaden"/>
    <w:link w:val="TelobesedilaZnak"/>
    <w:pPr>
      <w:widowControl w:val="0"/>
      <w:tabs>
        <w:tab w:val="left" w:pos="4464"/>
      </w:tabs>
      <w:jc w:val="both"/>
    </w:pPr>
    <w:rPr>
      <w:rFonts w:ascii="SLO Arial" w:hAnsi="SLO Arial"/>
      <w:snapToGrid w:val="0"/>
      <w:sz w:val="22"/>
      <w:szCs w:val="20"/>
      <w:lang w:val="en-GB" w:eastAsia="en-US"/>
    </w:rPr>
  </w:style>
  <w:style w:type="paragraph" w:styleId="Napis">
    <w:name w:val="caption"/>
    <w:basedOn w:val="Navaden"/>
    <w:next w:val="Navaden"/>
    <w:qFormat/>
    <w:pPr>
      <w:jc w:val="center"/>
    </w:pPr>
    <w:rPr>
      <w:b/>
      <w:szCs w:val="20"/>
    </w:rPr>
  </w:style>
  <w:style w:type="character" w:customStyle="1" w:styleId="Hyperlink1">
    <w:name w:val="Hyperlink1"/>
    <w:rPr>
      <w:color w:val="0000FF"/>
      <w:u w:val="single"/>
    </w:rPr>
  </w:style>
  <w:style w:type="character" w:styleId="tevilkastrani">
    <w:name w:val="page number"/>
    <w:basedOn w:val="Privzetapisavaodstavka"/>
  </w:style>
  <w:style w:type="paragraph" w:styleId="Navadensplet">
    <w:name w:val="Normal (Web)"/>
    <w:basedOn w:val="Navaden"/>
    <w:rsid w:val="00B95AAD"/>
    <w:pPr>
      <w:spacing w:before="100" w:beforeAutospacing="1" w:after="100" w:afterAutospacing="1"/>
    </w:pPr>
  </w:style>
  <w:style w:type="paragraph" w:styleId="Telobesedila2">
    <w:name w:val="Body Text 2"/>
    <w:basedOn w:val="Navaden"/>
    <w:rsid w:val="00B95AAD"/>
    <w:pPr>
      <w:spacing w:after="120" w:line="480" w:lineRule="auto"/>
    </w:pPr>
  </w:style>
  <w:style w:type="character" w:styleId="Krepko">
    <w:name w:val="Strong"/>
    <w:qFormat/>
    <w:rsid w:val="008C0E86"/>
    <w:rPr>
      <w:b/>
      <w:bCs/>
    </w:rPr>
  </w:style>
  <w:style w:type="paragraph" w:customStyle="1" w:styleId="p">
    <w:name w:val="p"/>
    <w:basedOn w:val="Navaden"/>
    <w:rsid w:val="006D770F"/>
    <w:pPr>
      <w:spacing w:before="60" w:after="15"/>
      <w:ind w:left="15" w:right="15" w:firstLine="240"/>
      <w:jc w:val="both"/>
    </w:pPr>
    <w:rPr>
      <w:rFonts w:ascii="Arial" w:hAnsi="Arial" w:cs="Arial"/>
      <w:color w:val="222222"/>
      <w:sz w:val="22"/>
      <w:szCs w:val="22"/>
      <w:lang w:val="en-GB" w:eastAsia="en-US"/>
    </w:rPr>
  </w:style>
  <w:style w:type="paragraph" w:styleId="Brezrazmikov">
    <w:name w:val="No Spacing"/>
    <w:uiPriority w:val="99"/>
    <w:qFormat/>
    <w:rsid w:val="000F7AAA"/>
    <w:rPr>
      <w:rFonts w:ascii="Calibri" w:eastAsia="Calibri" w:hAnsi="Calibri"/>
      <w:sz w:val="22"/>
      <w:szCs w:val="22"/>
      <w:lang w:eastAsia="en-US"/>
    </w:rPr>
  </w:style>
  <w:style w:type="paragraph" w:customStyle="1" w:styleId="esegmenth4">
    <w:name w:val="esegment_h4"/>
    <w:basedOn w:val="Navaden"/>
    <w:uiPriority w:val="99"/>
    <w:rsid w:val="000F7AAA"/>
    <w:pPr>
      <w:spacing w:after="210"/>
      <w:jc w:val="center"/>
    </w:pPr>
    <w:rPr>
      <w:b/>
      <w:bCs/>
      <w:color w:val="333333"/>
      <w:sz w:val="18"/>
      <w:szCs w:val="18"/>
    </w:rPr>
  </w:style>
  <w:style w:type="character" w:customStyle="1" w:styleId="Hiperpovezava1">
    <w:name w:val="Hiperpovezava1"/>
    <w:uiPriority w:val="99"/>
    <w:rsid w:val="000F7AAA"/>
    <w:rPr>
      <w:color w:val="0000FF"/>
      <w:u w:val="single"/>
    </w:rPr>
  </w:style>
  <w:style w:type="paragraph" w:styleId="Besedilooblaka">
    <w:name w:val="Balloon Text"/>
    <w:basedOn w:val="Navaden"/>
    <w:link w:val="BesedilooblakaZnak"/>
    <w:uiPriority w:val="99"/>
    <w:semiHidden/>
    <w:unhideWhenUsed/>
    <w:rsid w:val="00F853CD"/>
    <w:rPr>
      <w:rFonts w:ascii="Tahoma" w:hAnsi="Tahoma" w:cs="Tahoma"/>
      <w:sz w:val="16"/>
      <w:szCs w:val="16"/>
    </w:rPr>
  </w:style>
  <w:style w:type="character" w:customStyle="1" w:styleId="BesedilooblakaZnak">
    <w:name w:val="Besedilo oblačka Znak"/>
    <w:link w:val="Besedilooblaka"/>
    <w:uiPriority w:val="99"/>
    <w:semiHidden/>
    <w:rsid w:val="00F853CD"/>
    <w:rPr>
      <w:rFonts w:ascii="Tahoma" w:hAnsi="Tahoma" w:cs="Tahoma"/>
      <w:sz w:val="16"/>
      <w:szCs w:val="16"/>
    </w:rPr>
  </w:style>
  <w:style w:type="character" w:customStyle="1" w:styleId="NogaZnak">
    <w:name w:val="Noga Znak"/>
    <w:link w:val="Noga"/>
    <w:uiPriority w:val="99"/>
    <w:rsid w:val="00642FD8"/>
    <w:rPr>
      <w:rFonts w:ascii="Arial" w:hAnsi="Arial"/>
      <w:sz w:val="24"/>
      <w:lang w:eastAsia="en-US"/>
    </w:rPr>
  </w:style>
  <w:style w:type="paragraph" w:styleId="Golobesedilo">
    <w:name w:val="Plain Text"/>
    <w:basedOn w:val="Navaden"/>
    <w:link w:val="GolobesediloZnak"/>
    <w:uiPriority w:val="99"/>
    <w:semiHidden/>
    <w:unhideWhenUsed/>
    <w:rsid w:val="00D81B81"/>
    <w:rPr>
      <w:rFonts w:ascii="Calibri" w:eastAsia="Calibri" w:hAnsi="Calibri"/>
      <w:sz w:val="22"/>
      <w:szCs w:val="21"/>
      <w:lang w:eastAsia="en-US"/>
    </w:rPr>
  </w:style>
  <w:style w:type="character" w:customStyle="1" w:styleId="GolobesediloZnak">
    <w:name w:val="Golo besedilo Znak"/>
    <w:link w:val="Golobesedilo"/>
    <w:uiPriority w:val="99"/>
    <w:semiHidden/>
    <w:rsid w:val="00D81B81"/>
    <w:rPr>
      <w:rFonts w:ascii="Calibri" w:eastAsia="Calibri" w:hAnsi="Calibri"/>
      <w:sz w:val="22"/>
      <w:szCs w:val="21"/>
      <w:lang w:eastAsia="en-US"/>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link w:val="Glava"/>
    <w:uiPriority w:val="99"/>
    <w:rsid w:val="00C75D2B"/>
    <w:rPr>
      <w:rFonts w:ascii="Arial" w:hAnsi="Arial"/>
      <w:sz w:val="24"/>
      <w:lang w:eastAsia="en-US"/>
    </w:rPr>
  </w:style>
  <w:style w:type="character" w:customStyle="1" w:styleId="Naslov1Znak">
    <w:name w:val="Naslov 1 Znak"/>
    <w:link w:val="Naslov1"/>
    <w:rsid w:val="00992402"/>
    <w:rPr>
      <w:rFonts w:ascii="SLO Arial" w:hAnsi="SLO Arial"/>
      <w:b/>
      <w:i/>
      <w:caps/>
      <w:sz w:val="28"/>
      <w:lang w:eastAsia="en-US"/>
    </w:rPr>
  </w:style>
  <w:style w:type="character" w:customStyle="1" w:styleId="Naslov2Znak">
    <w:name w:val="Naslov 2 Znak"/>
    <w:link w:val="Naslov2"/>
    <w:rsid w:val="00992402"/>
    <w:rPr>
      <w:rFonts w:ascii="Arial" w:hAnsi="Arial"/>
      <w:b/>
      <w:caps/>
      <w:sz w:val="22"/>
      <w:lang w:eastAsia="en-US"/>
    </w:rPr>
  </w:style>
  <w:style w:type="paragraph" w:customStyle="1" w:styleId="WW-Privzeto">
    <w:name w:val="WW-Privzeto"/>
    <w:rsid w:val="00D1216D"/>
    <w:pPr>
      <w:suppressAutoHyphens/>
      <w:autoSpaceDE w:val="0"/>
    </w:pPr>
    <w:rPr>
      <w:rFonts w:cs="Tahoma"/>
      <w:sz w:val="24"/>
      <w:szCs w:val="24"/>
      <w:lang w:eastAsia="ar-SA"/>
    </w:rPr>
  </w:style>
  <w:style w:type="paragraph" w:styleId="Odstavekseznama">
    <w:name w:val="List Paragraph"/>
    <w:basedOn w:val="Navaden"/>
    <w:uiPriority w:val="34"/>
    <w:qFormat/>
    <w:rsid w:val="00D1216D"/>
    <w:pPr>
      <w:ind w:left="708"/>
    </w:pPr>
    <w:rPr>
      <w:rFonts w:cs="Arial"/>
      <w:color w:val="222222"/>
      <w:sz w:val="20"/>
      <w:szCs w:val="20"/>
    </w:rPr>
  </w:style>
  <w:style w:type="paragraph" w:customStyle="1" w:styleId="Default">
    <w:name w:val="Default"/>
    <w:rsid w:val="00355708"/>
    <w:pPr>
      <w:autoSpaceDE w:val="0"/>
      <w:autoSpaceDN w:val="0"/>
      <w:adjustRightInd w:val="0"/>
    </w:pPr>
    <w:rPr>
      <w:color w:val="000000"/>
      <w:sz w:val="24"/>
      <w:szCs w:val="24"/>
    </w:rPr>
  </w:style>
  <w:style w:type="numbering" w:customStyle="1" w:styleId="Brezseznama1">
    <w:name w:val="Brez seznama1"/>
    <w:next w:val="Brezseznama"/>
    <w:uiPriority w:val="99"/>
    <w:semiHidden/>
    <w:unhideWhenUsed/>
    <w:rsid w:val="00BE1E16"/>
  </w:style>
  <w:style w:type="character" w:styleId="Pripombasklic">
    <w:name w:val="annotation reference"/>
    <w:uiPriority w:val="99"/>
    <w:semiHidden/>
    <w:unhideWhenUsed/>
    <w:rsid w:val="00BE1E16"/>
    <w:rPr>
      <w:sz w:val="16"/>
      <w:szCs w:val="16"/>
    </w:rPr>
  </w:style>
  <w:style w:type="paragraph" w:styleId="Pripombabesedilo">
    <w:name w:val="annotation text"/>
    <w:basedOn w:val="Navaden"/>
    <w:link w:val="PripombabesediloZnak"/>
    <w:uiPriority w:val="99"/>
    <w:semiHidden/>
    <w:unhideWhenUsed/>
    <w:rsid w:val="00BE1E16"/>
    <w:pPr>
      <w:spacing w:after="200"/>
    </w:pPr>
    <w:rPr>
      <w:rFonts w:ascii="Calibri" w:eastAsia="Calibri" w:hAnsi="Calibri"/>
      <w:sz w:val="20"/>
      <w:szCs w:val="20"/>
      <w:lang w:eastAsia="en-US"/>
    </w:rPr>
  </w:style>
  <w:style w:type="character" w:customStyle="1" w:styleId="PripombabesediloZnak">
    <w:name w:val="Pripomba – besedilo Znak"/>
    <w:link w:val="Pripombabesedilo"/>
    <w:uiPriority w:val="99"/>
    <w:semiHidden/>
    <w:rsid w:val="00BE1E16"/>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rsid w:val="00BE1E16"/>
    <w:rPr>
      <w:b/>
      <w:bCs/>
    </w:rPr>
  </w:style>
  <w:style w:type="character" w:customStyle="1" w:styleId="ZadevapripombeZnak">
    <w:name w:val="Zadeva pripombe Znak"/>
    <w:link w:val="Zadevapripombe"/>
    <w:uiPriority w:val="99"/>
    <w:semiHidden/>
    <w:rsid w:val="00BE1E16"/>
    <w:rPr>
      <w:rFonts w:ascii="Calibri" w:eastAsia="Calibri" w:hAnsi="Calibri"/>
      <w:b/>
      <w:bCs/>
      <w:lang w:eastAsia="en-US"/>
    </w:rPr>
  </w:style>
  <w:style w:type="paragraph" w:customStyle="1" w:styleId="len">
    <w:name w:val="Člen"/>
    <w:basedOn w:val="Navaden"/>
    <w:link w:val="lenZnak"/>
    <w:qFormat/>
    <w:rsid w:val="00BE1E16"/>
    <w:pPr>
      <w:suppressAutoHyphens/>
      <w:overflowPunct w:val="0"/>
      <w:autoSpaceDE w:val="0"/>
      <w:autoSpaceDN w:val="0"/>
      <w:adjustRightInd w:val="0"/>
      <w:spacing w:before="480"/>
      <w:jc w:val="center"/>
    </w:pPr>
    <w:rPr>
      <w:rFonts w:ascii="Arial" w:eastAsia="Calibri" w:hAnsi="Arial" w:cs="Arial"/>
      <w:b/>
      <w:sz w:val="22"/>
      <w:szCs w:val="22"/>
      <w:lang w:eastAsia="en-US"/>
    </w:rPr>
  </w:style>
  <w:style w:type="character" w:customStyle="1" w:styleId="lenZnak">
    <w:name w:val="Člen Znak"/>
    <w:link w:val="len"/>
    <w:locked/>
    <w:rsid w:val="00BE1E16"/>
    <w:rPr>
      <w:rFonts w:ascii="Arial" w:eastAsia="Calibri" w:hAnsi="Arial" w:cs="Arial"/>
      <w:b/>
      <w:sz w:val="22"/>
      <w:szCs w:val="22"/>
      <w:lang w:eastAsia="en-US"/>
    </w:rPr>
  </w:style>
  <w:style w:type="paragraph" w:customStyle="1" w:styleId="lennaslov">
    <w:name w:val="lennaslov"/>
    <w:basedOn w:val="Navaden"/>
    <w:rsid w:val="00BE1E16"/>
    <w:pPr>
      <w:spacing w:before="100" w:beforeAutospacing="1" w:after="100" w:afterAutospacing="1"/>
    </w:pPr>
  </w:style>
  <w:style w:type="paragraph" w:customStyle="1" w:styleId="odstavek">
    <w:name w:val="odstavek"/>
    <w:basedOn w:val="Navaden"/>
    <w:rsid w:val="00BE1E16"/>
    <w:pPr>
      <w:spacing w:before="100" w:beforeAutospacing="1" w:after="100" w:afterAutospacing="1"/>
    </w:pPr>
  </w:style>
  <w:style w:type="paragraph" w:customStyle="1" w:styleId="alineazaodstavkom">
    <w:name w:val="alineazaodstavkom"/>
    <w:basedOn w:val="Navaden"/>
    <w:rsid w:val="00BE1E16"/>
    <w:pPr>
      <w:spacing w:before="100" w:beforeAutospacing="1" w:after="100" w:afterAutospacing="1"/>
    </w:pPr>
  </w:style>
  <w:style w:type="paragraph" w:customStyle="1" w:styleId="len0">
    <w:name w:val="len"/>
    <w:basedOn w:val="Navaden"/>
    <w:rsid w:val="00BE1E16"/>
    <w:pPr>
      <w:spacing w:before="100" w:beforeAutospacing="1" w:after="100" w:afterAutospacing="1"/>
    </w:pPr>
  </w:style>
  <w:style w:type="character" w:customStyle="1" w:styleId="a14">
    <w:name w:val="a14"/>
    <w:rsid w:val="00BE1E16"/>
  </w:style>
  <w:style w:type="paragraph" w:customStyle="1" w:styleId="len1">
    <w:name w:val="len1"/>
    <w:basedOn w:val="Navaden"/>
    <w:rsid w:val="00BE1E16"/>
    <w:pPr>
      <w:spacing w:before="480"/>
      <w:jc w:val="center"/>
    </w:pPr>
    <w:rPr>
      <w:rFonts w:ascii="Arial" w:hAnsi="Arial" w:cs="Arial"/>
      <w:b/>
      <w:bCs/>
      <w:sz w:val="22"/>
      <w:szCs w:val="22"/>
    </w:rPr>
  </w:style>
  <w:style w:type="character" w:customStyle="1" w:styleId="GlavaZnak">
    <w:name w:val="Glava Znak"/>
    <w:uiPriority w:val="99"/>
    <w:rsid w:val="00BE1E16"/>
  </w:style>
  <w:style w:type="table" w:styleId="Tabelamrea">
    <w:name w:val="Table Grid"/>
    <w:basedOn w:val="Navadnatabela"/>
    <w:rsid w:val="00BE1E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link w:val="Telobesedila"/>
    <w:rsid w:val="00BE1E16"/>
    <w:rPr>
      <w:rFonts w:ascii="SLO Arial" w:hAnsi="SLO Arial"/>
      <w:snapToGrid w:val="0"/>
      <w:sz w:val="22"/>
      <w:lang w:val="en-GB" w:eastAsia="en-US"/>
    </w:rPr>
  </w:style>
  <w:style w:type="paragraph" w:styleId="Revizija">
    <w:name w:val="Revision"/>
    <w:hidden/>
    <w:uiPriority w:val="99"/>
    <w:semiHidden/>
    <w:rsid w:val="00BE1E16"/>
    <w:rPr>
      <w:rFonts w:ascii="Calibri" w:eastAsia="Calibri" w:hAnsi="Calibri"/>
      <w:sz w:val="22"/>
      <w:szCs w:val="22"/>
      <w:lang w:eastAsia="en-US"/>
    </w:rPr>
  </w:style>
  <w:style w:type="character" w:styleId="Hiperpovezava">
    <w:name w:val="Hyperlink"/>
    <w:uiPriority w:val="99"/>
    <w:unhideWhenUsed/>
    <w:rsid w:val="00443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534">
      <w:bodyDiv w:val="1"/>
      <w:marLeft w:val="0"/>
      <w:marRight w:val="0"/>
      <w:marTop w:val="0"/>
      <w:marBottom w:val="0"/>
      <w:divBdr>
        <w:top w:val="none" w:sz="0" w:space="0" w:color="auto"/>
        <w:left w:val="none" w:sz="0" w:space="0" w:color="auto"/>
        <w:bottom w:val="none" w:sz="0" w:space="0" w:color="auto"/>
        <w:right w:val="none" w:sz="0" w:space="0" w:color="auto"/>
      </w:divBdr>
    </w:div>
    <w:div w:id="207885886">
      <w:bodyDiv w:val="1"/>
      <w:marLeft w:val="0"/>
      <w:marRight w:val="0"/>
      <w:marTop w:val="0"/>
      <w:marBottom w:val="0"/>
      <w:divBdr>
        <w:top w:val="none" w:sz="0" w:space="0" w:color="auto"/>
        <w:left w:val="none" w:sz="0" w:space="0" w:color="auto"/>
        <w:bottom w:val="none" w:sz="0" w:space="0" w:color="auto"/>
        <w:right w:val="none" w:sz="0" w:space="0" w:color="auto"/>
      </w:divBdr>
    </w:div>
    <w:div w:id="248121095">
      <w:bodyDiv w:val="1"/>
      <w:marLeft w:val="0"/>
      <w:marRight w:val="0"/>
      <w:marTop w:val="0"/>
      <w:marBottom w:val="0"/>
      <w:divBdr>
        <w:top w:val="none" w:sz="0" w:space="0" w:color="auto"/>
        <w:left w:val="none" w:sz="0" w:space="0" w:color="auto"/>
        <w:bottom w:val="none" w:sz="0" w:space="0" w:color="auto"/>
        <w:right w:val="none" w:sz="0" w:space="0" w:color="auto"/>
      </w:divBdr>
    </w:div>
    <w:div w:id="425543259">
      <w:bodyDiv w:val="1"/>
      <w:marLeft w:val="0"/>
      <w:marRight w:val="0"/>
      <w:marTop w:val="0"/>
      <w:marBottom w:val="0"/>
      <w:divBdr>
        <w:top w:val="none" w:sz="0" w:space="0" w:color="auto"/>
        <w:left w:val="none" w:sz="0" w:space="0" w:color="auto"/>
        <w:bottom w:val="none" w:sz="0" w:space="0" w:color="auto"/>
        <w:right w:val="none" w:sz="0" w:space="0" w:color="auto"/>
      </w:divBdr>
    </w:div>
    <w:div w:id="898591156">
      <w:bodyDiv w:val="1"/>
      <w:marLeft w:val="0"/>
      <w:marRight w:val="0"/>
      <w:marTop w:val="0"/>
      <w:marBottom w:val="0"/>
      <w:divBdr>
        <w:top w:val="none" w:sz="0" w:space="0" w:color="auto"/>
        <w:left w:val="none" w:sz="0" w:space="0" w:color="auto"/>
        <w:bottom w:val="none" w:sz="0" w:space="0" w:color="auto"/>
        <w:right w:val="none" w:sz="0" w:space="0" w:color="auto"/>
      </w:divBdr>
    </w:div>
    <w:div w:id="991256987">
      <w:bodyDiv w:val="1"/>
      <w:marLeft w:val="0"/>
      <w:marRight w:val="0"/>
      <w:marTop w:val="0"/>
      <w:marBottom w:val="0"/>
      <w:divBdr>
        <w:top w:val="none" w:sz="0" w:space="0" w:color="auto"/>
        <w:left w:val="none" w:sz="0" w:space="0" w:color="auto"/>
        <w:bottom w:val="none" w:sz="0" w:space="0" w:color="auto"/>
        <w:right w:val="none" w:sz="0" w:space="0" w:color="auto"/>
      </w:divBdr>
    </w:div>
    <w:div w:id="1095442053">
      <w:bodyDiv w:val="1"/>
      <w:marLeft w:val="0"/>
      <w:marRight w:val="0"/>
      <w:marTop w:val="0"/>
      <w:marBottom w:val="0"/>
      <w:divBdr>
        <w:top w:val="none" w:sz="0" w:space="0" w:color="auto"/>
        <w:left w:val="none" w:sz="0" w:space="0" w:color="auto"/>
        <w:bottom w:val="none" w:sz="0" w:space="0" w:color="auto"/>
        <w:right w:val="none" w:sz="0" w:space="0" w:color="auto"/>
      </w:divBdr>
    </w:div>
    <w:div w:id="1191409752">
      <w:bodyDiv w:val="1"/>
      <w:marLeft w:val="0"/>
      <w:marRight w:val="0"/>
      <w:marTop w:val="0"/>
      <w:marBottom w:val="0"/>
      <w:divBdr>
        <w:top w:val="none" w:sz="0" w:space="0" w:color="auto"/>
        <w:left w:val="none" w:sz="0" w:space="0" w:color="auto"/>
        <w:bottom w:val="none" w:sz="0" w:space="0" w:color="auto"/>
        <w:right w:val="none" w:sz="0" w:space="0" w:color="auto"/>
      </w:divBdr>
    </w:div>
    <w:div w:id="1240821920">
      <w:bodyDiv w:val="1"/>
      <w:marLeft w:val="0"/>
      <w:marRight w:val="0"/>
      <w:marTop w:val="0"/>
      <w:marBottom w:val="0"/>
      <w:divBdr>
        <w:top w:val="none" w:sz="0" w:space="0" w:color="auto"/>
        <w:left w:val="none" w:sz="0" w:space="0" w:color="auto"/>
        <w:bottom w:val="none" w:sz="0" w:space="0" w:color="auto"/>
        <w:right w:val="none" w:sz="0" w:space="0" w:color="auto"/>
      </w:divBdr>
    </w:div>
    <w:div w:id="1385592934">
      <w:bodyDiv w:val="1"/>
      <w:marLeft w:val="0"/>
      <w:marRight w:val="0"/>
      <w:marTop w:val="0"/>
      <w:marBottom w:val="0"/>
      <w:divBdr>
        <w:top w:val="none" w:sz="0" w:space="0" w:color="auto"/>
        <w:left w:val="none" w:sz="0" w:space="0" w:color="auto"/>
        <w:bottom w:val="none" w:sz="0" w:space="0" w:color="auto"/>
        <w:right w:val="none" w:sz="0" w:space="0" w:color="auto"/>
      </w:divBdr>
    </w:div>
    <w:div w:id="1467893130">
      <w:bodyDiv w:val="1"/>
      <w:marLeft w:val="0"/>
      <w:marRight w:val="0"/>
      <w:marTop w:val="0"/>
      <w:marBottom w:val="0"/>
      <w:divBdr>
        <w:top w:val="none" w:sz="0" w:space="0" w:color="auto"/>
        <w:left w:val="none" w:sz="0" w:space="0" w:color="auto"/>
        <w:bottom w:val="none" w:sz="0" w:space="0" w:color="auto"/>
        <w:right w:val="none" w:sz="0" w:space="0" w:color="auto"/>
      </w:divBdr>
    </w:div>
    <w:div w:id="1533420328">
      <w:bodyDiv w:val="1"/>
      <w:marLeft w:val="0"/>
      <w:marRight w:val="0"/>
      <w:marTop w:val="0"/>
      <w:marBottom w:val="0"/>
      <w:divBdr>
        <w:top w:val="none" w:sz="0" w:space="0" w:color="auto"/>
        <w:left w:val="none" w:sz="0" w:space="0" w:color="auto"/>
        <w:bottom w:val="none" w:sz="0" w:space="0" w:color="auto"/>
        <w:right w:val="none" w:sz="0" w:space="0" w:color="auto"/>
      </w:divBdr>
    </w:div>
    <w:div w:id="20563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8CB4D-F157-4993-BA4F-265AC827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Pages>
  <Words>3428</Words>
  <Characters>20674</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Na podlagi 141</vt:lpstr>
    </vt:vector>
  </TitlesOfParts>
  <Company>Doplan d.d.</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Kejžar</dc:creator>
  <cp:lastModifiedBy>Ivo Kejžar</cp:lastModifiedBy>
  <cp:revision>66</cp:revision>
  <cp:lastPrinted>2021-03-17T13:49:00Z</cp:lastPrinted>
  <dcterms:created xsi:type="dcterms:W3CDTF">2023-03-06T11:39:00Z</dcterms:created>
  <dcterms:modified xsi:type="dcterms:W3CDTF">2023-03-09T08:52:00Z</dcterms:modified>
</cp:coreProperties>
</file>