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8C9D" w14:textId="69B7D682" w:rsidR="006257F8" w:rsidRPr="008C1044" w:rsidRDefault="006257F8" w:rsidP="006257F8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8C1044">
        <w:rPr>
          <w:rFonts w:ascii="Tahoma" w:hAnsi="Tahoma" w:cs="Tahoma"/>
          <w:sz w:val="22"/>
          <w:szCs w:val="22"/>
        </w:rPr>
        <w:t>Na podlagi 3. odstavka 218. člena Zakona o urejanju prostora (Ur.</w:t>
      </w:r>
      <w:r w:rsidR="005723F4">
        <w:rPr>
          <w:rFonts w:ascii="Tahoma" w:hAnsi="Tahoma" w:cs="Tahoma"/>
          <w:sz w:val="22"/>
          <w:szCs w:val="22"/>
        </w:rPr>
        <w:t xml:space="preserve"> </w:t>
      </w:r>
      <w:r w:rsidRPr="008C1044">
        <w:rPr>
          <w:rFonts w:ascii="Tahoma" w:hAnsi="Tahoma" w:cs="Tahoma"/>
          <w:sz w:val="22"/>
          <w:szCs w:val="22"/>
        </w:rPr>
        <w:t>list RS; št. 61/17), ob upoštevanju določb Pravilnika o podlagah za odmero komunalnega prispevka za obstoječo komunalno opremo na osnovi povprečnih stroškov opremljanja stavbnih zemljišč s posameznimi vrstami komunalne opreme (Ur.</w:t>
      </w:r>
      <w:r>
        <w:rPr>
          <w:rFonts w:ascii="Tahoma" w:hAnsi="Tahoma" w:cs="Tahoma"/>
          <w:sz w:val="22"/>
          <w:szCs w:val="22"/>
        </w:rPr>
        <w:t xml:space="preserve"> </w:t>
      </w:r>
      <w:r w:rsidRPr="008C1044">
        <w:rPr>
          <w:rFonts w:ascii="Tahoma" w:hAnsi="Tahoma" w:cs="Tahoma"/>
          <w:sz w:val="22"/>
          <w:szCs w:val="22"/>
        </w:rPr>
        <w:t>list RS; št. 66/18) in Uredbe o programu opremljanja stavbnih zemljišč in odloku o podlagah za odmero komunalnega prispevka za obstoječo komunalno opremo ter o izračunu in odmeri komunalnega prispevka (Ur.</w:t>
      </w:r>
      <w:r w:rsidR="005723F4">
        <w:rPr>
          <w:rFonts w:ascii="Tahoma" w:hAnsi="Tahoma" w:cs="Tahoma"/>
          <w:sz w:val="22"/>
          <w:szCs w:val="22"/>
        </w:rPr>
        <w:t xml:space="preserve"> </w:t>
      </w:r>
      <w:r w:rsidRPr="008C1044">
        <w:rPr>
          <w:rFonts w:ascii="Tahoma" w:hAnsi="Tahoma" w:cs="Tahoma"/>
          <w:sz w:val="22"/>
          <w:szCs w:val="22"/>
        </w:rPr>
        <w:t>ist RS; št. 20/19, 30/39 in 34/19) ter na podlagi 18. člena Statuta Občine Žirovnica (Ur.</w:t>
      </w:r>
      <w:r w:rsidR="005723F4">
        <w:rPr>
          <w:rFonts w:ascii="Tahoma" w:hAnsi="Tahoma" w:cs="Tahoma"/>
          <w:sz w:val="22"/>
          <w:szCs w:val="22"/>
        </w:rPr>
        <w:t xml:space="preserve"> </w:t>
      </w:r>
      <w:r w:rsidRPr="008C1044">
        <w:rPr>
          <w:rFonts w:ascii="Tahoma" w:hAnsi="Tahoma" w:cs="Tahoma"/>
          <w:sz w:val="22"/>
          <w:szCs w:val="22"/>
        </w:rPr>
        <w:t xml:space="preserve">list RS; št. 66/18 – UPB2) je Občinski svet Občine Žirovnica na seji </w:t>
      </w:r>
      <w:r w:rsidR="00203820">
        <w:rPr>
          <w:rFonts w:ascii="Tahoma" w:hAnsi="Tahoma" w:cs="Tahoma"/>
          <w:sz w:val="22"/>
          <w:szCs w:val="22"/>
        </w:rPr>
        <w:t>__________</w:t>
      </w:r>
      <w:r w:rsidRPr="008C1044">
        <w:rPr>
          <w:rFonts w:ascii="Tahoma" w:hAnsi="Tahoma" w:cs="Tahoma"/>
          <w:sz w:val="22"/>
          <w:szCs w:val="22"/>
        </w:rPr>
        <w:t>dne</w:t>
      </w:r>
      <w:r w:rsidR="00203820">
        <w:rPr>
          <w:rFonts w:ascii="Tahoma" w:hAnsi="Tahoma" w:cs="Tahoma"/>
          <w:sz w:val="22"/>
          <w:szCs w:val="22"/>
        </w:rPr>
        <w:t>___________</w:t>
      </w:r>
      <w:r w:rsidRPr="008C1044">
        <w:rPr>
          <w:rFonts w:ascii="Tahoma" w:hAnsi="Tahoma" w:cs="Tahoma"/>
          <w:sz w:val="22"/>
          <w:szCs w:val="22"/>
        </w:rPr>
        <w:t>sprejel:</w:t>
      </w:r>
    </w:p>
    <w:p w14:paraId="535460D7" w14:textId="77777777" w:rsidR="006257F8" w:rsidRDefault="006257F8" w:rsidP="006257F8">
      <w:pPr>
        <w:spacing w:after="0" w:line="240" w:lineRule="auto"/>
        <w:jc w:val="left"/>
        <w:rPr>
          <w:rFonts w:ascii="Tahoma" w:hAnsi="Tahoma" w:cs="Tahoma"/>
          <w:b/>
          <w:bCs/>
          <w:spacing w:val="40"/>
          <w:kern w:val="32"/>
          <w:sz w:val="22"/>
          <w:szCs w:val="22"/>
        </w:rPr>
      </w:pPr>
    </w:p>
    <w:p w14:paraId="6713F10B" w14:textId="77777777" w:rsidR="006257F8" w:rsidRDefault="006257F8" w:rsidP="006257F8">
      <w:pPr>
        <w:spacing w:after="0" w:line="240" w:lineRule="auto"/>
        <w:jc w:val="left"/>
        <w:rPr>
          <w:rFonts w:ascii="Tahoma" w:hAnsi="Tahoma" w:cs="Tahoma"/>
          <w:b/>
          <w:bCs/>
          <w:spacing w:val="40"/>
          <w:kern w:val="32"/>
          <w:sz w:val="22"/>
          <w:szCs w:val="22"/>
        </w:rPr>
      </w:pPr>
    </w:p>
    <w:p w14:paraId="03132424" w14:textId="77777777" w:rsidR="006257F8" w:rsidRDefault="006257F8" w:rsidP="006257F8">
      <w:pPr>
        <w:spacing w:after="0" w:line="240" w:lineRule="auto"/>
        <w:jc w:val="left"/>
        <w:rPr>
          <w:rFonts w:ascii="Tahoma" w:hAnsi="Tahoma" w:cs="Tahoma"/>
          <w:b/>
          <w:bCs/>
          <w:spacing w:val="40"/>
          <w:kern w:val="32"/>
          <w:sz w:val="22"/>
          <w:szCs w:val="22"/>
        </w:rPr>
      </w:pPr>
    </w:p>
    <w:p w14:paraId="105E3732" w14:textId="77777777" w:rsidR="006257F8" w:rsidRDefault="006257F8" w:rsidP="006257F8">
      <w:pPr>
        <w:pStyle w:val="Naslov1"/>
        <w:rPr>
          <w:rFonts w:ascii="Tahoma" w:hAnsi="Tahoma" w:cs="Tahoma"/>
          <w:spacing w:val="40"/>
          <w:sz w:val="22"/>
          <w:szCs w:val="22"/>
        </w:rPr>
      </w:pPr>
      <w:r w:rsidRPr="008C1044">
        <w:rPr>
          <w:rFonts w:ascii="Tahoma" w:hAnsi="Tahoma" w:cs="Tahoma"/>
          <w:spacing w:val="40"/>
          <w:sz w:val="22"/>
          <w:szCs w:val="22"/>
        </w:rPr>
        <w:t>ODLOK</w:t>
      </w:r>
      <w:r>
        <w:rPr>
          <w:rFonts w:ascii="Tahoma" w:hAnsi="Tahoma" w:cs="Tahoma"/>
          <w:spacing w:val="40"/>
          <w:sz w:val="22"/>
          <w:szCs w:val="22"/>
        </w:rPr>
        <w:t xml:space="preserve"> </w:t>
      </w:r>
    </w:p>
    <w:p w14:paraId="097842E6" w14:textId="71542E38" w:rsidR="006257F8" w:rsidRDefault="006257F8" w:rsidP="006257F8">
      <w:pPr>
        <w:pStyle w:val="Naslov1"/>
        <w:keepNext w:val="0"/>
        <w:spacing w:after="0" w:line="240" w:lineRule="auto"/>
        <w:rPr>
          <w:rFonts w:ascii="Tahoma" w:hAnsi="Tahoma" w:cs="Tahoma"/>
          <w:sz w:val="22"/>
          <w:szCs w:val="22"/>
        </w:rPr>
      </w:pPr>
      <w:r w:rsidRPr="00D85E88">
        <w:rPr>
          <w:rFonts w:ascii="Tahoma" w:hAnsi="Tahoma" w:cs="Tahoma"/>
          <w:spacing w:val="40"/>
          <w:sz w:val="22"/>
          <w:szCs w:val="22"/>
        </w:rPr>
        <w:t xml:space="preserve">o </w:t>
      </w:r>
      <w:r w:rsidRPr="00D85E88">
        <w:rPr>
          <w:rFonts w:ascii="Tahoma" w:hAnsi="Tahoma" w:cs="Tahoma"/>
          <w:sz w:val="22"/>
          <w:szCs w:val="22"/>
        </w:rPr>
        <w:t>sprememb</w:t>
      </w:r>
      <w:r>
        <w:rPr>
          <w:rFonts w:ascii="Tahoma" w:hAnsi="Tahoma" w:cs="Tahoma"/>
          <w:sz w:val="22"/>
          <w:szCs w:val="22"/>
        </w:rPr>
        <w:t>ah</w:t>
      </w:r>
      <w:r w:rsidRPr="00D85E88">
        <w:rPr>
          <w:rFonts w:ascii="Tahoma" w:hAnsi="Tahoma" w:cs="Tahoma"/>
          <w:sz w:val="22"/>
          <w:szCs w:val="22"/>
        </w:rPr>
        <w:t xml:space="preserve"> </w:t>
      </w:r>
      <w:r w:rsidR="001E7830">
        <w:rPr>
          <w:rFonts w:ascii="Tahoma" w:hAnsi="Tahoma" w:cs="Tahoma"/>
          <w:sz w:val="22"/>
          <w:szCs w:val="22"/>
        </w:rPr>
        <w:t xml:space="preserve">in dopolnitvah </w:t>
      </w:r>
      <w:r w:rsidRPr="00D85E88">
        <w:rPr>
          <w:rFonts w:ascii="Tahoma" w:hAnsi="Tahoma" w:cs="Tahoma"/>
          <w:sz w:val="22"/>
          <w:szCs w:val="22"/>
        </w:rPr>
        <w:t>Odloka</w:t>
      </w:r>
      <w:r>
        <w:t xml:space="preserve"> </w:t>
      </w:r>
      <w:r w:rsidRPr="00D85E88">
        <w:t>o</w:t>
      </w:r>
      <w:r w:rsidRPr="008C1044">
        <w:rPr>
          <w:rFonts w:ascii="Tahoma" w:hAnsi="Tahoma" w:cs="Tahoma"/>
          <w:sz w:val="22"/>
          <w:szCs w:val="22"/>
        </w:rPr>
        <w:t xml:space="preserve"> podlagah za odmero komunalnega prispevka za obstoječo komunalno opremo v občini Žirovnica</w:t>
      </w:r>
    </w:p>
    <w:p w14:paraId="65AB31D7" w14:textId="77777777" w:rsidR="006257F8" w:rsidRPr="00BA17EB" w:rsidRDefault="006257F8" w:rsidP="006257F8">
      <w:pPr>
        <w:pStyle w:val="Naslov2"/>
        <w:spacing w:before="0" w:after="0" w:line="240" w:lineRule="auto"/>
      </w:pPr>
    </w:p>
    <w:p w14:paraId="73A3FF76" w14:textId="77777777" w:rsidR="006257F8" w:rsidRPr="00DD79A9" w:rsidRDefault="006257F8" w:rsidP="006257F8">
      <w:pPr>
        <w:pStyle w:val="Naslov3"/>
        <w:rPr>
          <w:rFonts w:ascii="Tahoma" w:eastAsia="ArialMT" w:hAnsi="Tahoma" w:cs="Tahoma"/>
          <w:b w:val="0"/>
          <w:sz w:val="22"/>
          <w:szCs w:val="22"/>
        </w:rPr>
      </w:pPr>
      <w:r w:rsidRPr="00DD79A9">
        <w:rPr>
          <w:rFonts w:ascii="Tahoma" w:eastAsia="ArialMT" w:hAnsi="Tahoma" w:cs="Tahoma"/>
          <w:b w:val="0"/>
          <w:sz w:val="22"/>
          <w:szCs w:val="22"/>
        </w:rPr>
        <w:t>člen</w:t>
      </w:r>
    </w:p>
    <w:p w14:paraId="758C4375" w14:textId="0FC28081" w:rsidR="006257F8" w:rsidRDefault="006257F8" w:rsidP="006257F8">
      <w:pPr>
        <w:pStyle w:val="StyleHeading4Tahoma11pt"/>
        <w:spacing w:after="0" w:line="240" w:lineRule="auto"/>
        <w:jc w:val="both"/>
        <w:rPr>
          <w:rFonts w:eastAsia="ArialMT" w:cs="Tahoma"/>
          <w:b w:val="0"/>
          <w:szCs w:val="22"/>
        </w:rPr>
      </w:pPr>
      <w:r w:rsidRPr="00DD79A9">
        <w:rPr>
          <w:rFonts w:eastAsia="ArialMT" w:cs="Tahoma"/>
          <w:b w:val="0"/>
          <w:szCs w:val="22"/>
        </w:rPr>
        <w:t xml:space="preserve">V </w:t>
      </w:r>
      <w:r w:rsidR="00A72AC7">
        <w:rPr>
          <w:rFonts w:eastAsia="ArialMT" w:cs="Tahoma"/>
          <w:b w:val="0"/>
          <w:szCs w:val="22"/>
        </w:rPr>
        <w:t>2</w:t>
      </w:r>
      <w:r w:rsidRPr="00DD79A9">
        <w:rPr>
          <w:rFonts w:eastAsia="ArialMT" w:cs="Tahoma"/>
          <w:b w:val="0"/>
          <w:szCs w:val="22"/>
        </w:rPr>
        <w:t xml:space="preserve">. členu Odloka </w:t>
      </w:r>
      <w:r w:rsidRPr="00DD79A9">
        <w:rPr>
          <w:rFonts w:cs="Tahoma"/>
          <w:b w:val="0"/>
          <w:szCs w:val="22"/>
        </w:rPr>
        <w:t>o podlagah za odmero komunalnega prispevka za obstoječo komunalno opremo v Občini Žirovnica (Uradni list RS, št. 81/2019</w:t>
      </w:r>
      <w:r w:rsidR="00EF114E">
        <w:rPr>
          <w:rFonts w:cs="Tahoma"/>
          <w:b w:val="0"/>
          <w:szCs w:val="22"/>
        </w:rPr>
        <w:t>, 63/2020 in 161/2021 popr.</w:t>
      </w:r>
      <w:r w:rsidRPr="00DD79A9">
        <w:rPr>
          <w:rFonts w:cs="Tahoma"/>
          <w:b w:val="0"/>
          <w:szCs w:val="22"/>
        </w:rPr>
        <w:t>)</w:t>
      </w:r>
      <w:r w:rsidRPr="00DD79A9">
        <w:rPr>
          <w:rFonts w:eastAsia="ArialMT" w:cs="Tahoma"/>
          <w:b w:val="0"/>
          <w:szCs w:val="22"/>
        </w:rPr>
        <w:t xml:space="preserve"> </w:t>
      </w:r>
      <w:r w:rsidR="001E7830">
        <w:rPr>
          <w:rFonts w:eastAsia="ArialMT" w:cs="Tahoma"/>
          <w:b w:val="0"/>
          <w:szCs w:val="22"/>
        </w:rPr>
        <w:t>se spremeni</w:t>
      </w:r>
      <w:r w:rsidR="001139B7">
        <w:rPr>
          <w:rFonts w:eastAsia="ArialMT" w:cs="Tahoma"/>
          <w:b w:val="0"/>
          <w:szCs w:val="22"/>
        </w:rPr>
        <w:t xml:space="preserve"> tako, da se</w:t>
      </w:r>
      <w:r w:rsidRPr="00DD79A9">
        <w:rPr>
          <w:rFonts w:eastAsia="ArialMT" w:cs="Tahoma"/>
          <w:b w:val="0"/>
          <w:szCs w:val="22"/>
        </w:rPr>
        <w:t xml:space="preserve"> </w:t>
      </w:r>
      <w:r w:rsidR="001E7830">
        <w:rPr>
          <w:rFonts w:eastAsia="ArialMT" w:cs="Tahoma"/>
          <w:b w:val="0"/>
          <w:szCs w:val="22"/>
        </w:rPr>
        <w:t>po novem</w:t>
      </w:r>
      <w:r w:rsidRPr="00DD79A9">
        <w:rPr>
          <w:rFonts w:eastAsia="ArialMT" w:cs="Tahoma"/>
          <w:b w:val="0"/>
          <w:szCs w:val="22"/>
        </w:rPr>
        <w:t xml:space="preserve"> glasi:</w:t>
      </w:r>
    </w:p>
    <w:p w14:paraId="5F720B15" w14:textId="77777777" w:rsidR="001139B7" w:rsidRPr="00DD79A9" w:rsidRDefault="001139B7" w:rsidP="006257F8">
      <w:pPr>
        <w:pStyle w:val="StyleHeading4Tahoma11pt"/>
        <w:spacing w:after="0" w:line="240" w:lineRule="auto"/>
        <w:jc w:val="both"/>
        <w:rPr>
          <w:rFonts w:eastAsia="ArialMT" w:cs="Tahoma"/>
          <w:b w:val="0"/>
          <w:szCs w:val="22"/>
        </w:rPr>
      </w:pPr>
    </w:p>
    <w:p w14:paraId="1B88C573" w14:textId="58680A85" w:rsidR="001139B7" w:rsidRPr="008C1044" w:rsidRDefault="00A4566E" w:rsidP="00A4566E">
      <w:pPr>
        <w:pStyle w:val="ODSTAVEK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1) </w:t>
      </w:r>
      <w:r w:rsidR="001139B7" w:rsidRPr="008C1044">
        <w:rPr>
          <w:rFonts w:ascii="Tahoma" w:hAnsi="Tahoma" w:cs="Tahoma"/>
          <w:sz w:val="22"/>
          <w:szCs w:val="22"/>
        </w:rPr>
        <w:t>Predmet obračuna komunalnega prispevka so predvideni in obstoječi:</w:t>
      </w:r>
    </w:p>
    <w:p w14:paraId="690B881E" w14:textId="77777777" w:rsidR="001139B7" w:rsidRPr="008C1044" w:rsidRDefault="001139B7" w:rsidP="001139B7">
      <w:pPr>
        <w:pStyle w:val="Normalalinea"/>
        <w:rPr>
          <w:rFonts w:ascii="Tahoma" w:eastAsia="ArialMT" w:hAnsi="Tahoma" w:cs="Tahoma"/>
          <w:sz w:val="22"/>
        </w:rPr>
      </w:pPr>
      <w:r w:rsidRPr="008C1044">
        <w:rPr>
          <w:rFonts w:ascii="Tahoma" w:eastAsia="ArialMT" w:hAnsi="Tahoma" w:cs="Tahoma"/>
          <w:sz w:val="22"/>
        </w:rPr>
        <w:t>zahtevni in manj zahtevni objekti,</w:t>
      </w:r>
    </w:p>
    <w:p w14:paraId="7A71E1B4" w14:textId="77777777" w:rsidR="001139B7" w:rsidRPr="008C1044" w:rsidRDefault="001139B7" w:rsidP="001139B7">
      <w:pPr>
        <w:pStyle w:val="Normalalinea"/>
        <w:spacing w:after="0" w:line="240" w:lineRule="auto"/>
        <w:rPr>
          <w:rFonts w:ascii="Tahoma" w:eastAsia="ArialMT" w:hAnsi="Tahoma" w:cs="Tahoma"/>
          <w:sz w:val="22"/>
        </w:rPr>
      </w:pPr>
      <w:r w:rsidRPr="008C1044">
        <w:rPr>
          <w:rFonts w:ascii="Tahoma" w:eastAsia="ArialMT" w:hAnsi="Tahoma" w:cs="Tahoma"/>
          <w:sz w:val="22"/>
        </w:rPr>
        <w:t>nezahtevni objekti, ki imajo vzpostavljene samostojne priključke na komunalno opremo,</w:t>
      </w:r>
    </w:p>
    <w:p w14:paraId="7DECAB6D" w14:textId="556D947A" w:rsidR="001139B7" w:rsidRDefault="001139B7" w:rsidP="001139B7">
      <w:pPr>
        <w:spacing w:after="0" w:line="240" w:lineRule="auto"/>
        <w:rPr>
          <w:rFonts w:ascii="Tahoma" w:eastAsia="ArialMT" w:hAnsi="Tahoma" w:cs="Tahoma"/>
          <w:sz w:val="22"/>
          <w:szCs w:val="22"/>
        </w:rPr>
      </w:pPr>
      <w:r w:rsidRPr="001139B7">
        <w:rPr>
          <w:rFonts w:ascii="Tahoma" w:eastAsia="ArialMT" w:hAnsi="Tahoma" w:cs="Tahoma"/>
          <w:sz w:val="22"/>
          <w:szCs w:val="22"/>
        </w:rPr>
        <w:t xml:space="preserve">oziroma se jim bo spremenila namembnost ali povečala zmogljivost v taki meri, da se razvrstijo med manj zahtevne ali zahtevne objekte.  </w:t>
      </w:r>
    </w:p>
    <w:p w14:paraId="67E5E69B" w14:textId="77777777" w:rsidR="001139B7" w:rsidRPr="001139B7" w:rsidRDefault="001139B7" w:rsidP="001139B7">
      <w:pPr>
        <w:spacing w:after="0" w:line="240" w:lineRule="auto"/>
        <w:rPr>
          <w:rFonts w:ascii="Tahoma" w:eastAsia="ArialMT" w:hAnsi="Tahoma" w:cs="Tahoma"/>
          <w:sz w:val="22"/>
          <w:szCs w:val="22"/>
        </w:rPr>
      </w:pPr>
    </w:p>
    <w:p w14:paraId="523C01DC" w14:textId="77777777" w:rsidR="006257F8" w:rsidRPr="00DD79A9" w:rsidRDefault="006257F8" w:rsidP="006257F8">
      <w:pPr>
        <w:pStyle w:val="StyleHeading3Tahoma11pt"/>
        <w:spacing w:before="0" w:after="0" w:line="240" w:lineRule="auto"/>
        <w:rPr>
          <w:rFonts w:eastAsia="ArialMT" w:cs="Tahoma"/>
          <w:szCs w:val="22"/>
        </w:rPr>
      </w:pPr>
      <w:r w:rsidRPr="00DD79A9">
        <w:rPr>
          <w:rFonts w:eastAsia="ArialMT" w:cs="Tahoma"/>
          <w:szCs w:val="22"/>
        </w:rPr>
        <w:t>člen</w:t>
      </w:r>
    </w:p>
    <w:p w14:paraId="63202731" w14:textId="77777777" w:rsidR="006257F8" w:rsidRPr="00DD79A9" w:rsidRDefault="006257F8" w:rsidP="006257F8">
      <w:pPr>
        <w:pStyle w:val="StyleHeading3Tahoma11pt"/>
        <w:numPr>
          <w:ilvl w:val="0"/>
          <w:numId w:val="0"/>
        </w:numPr>
        <w:spacing w:before="0" w:after="0" w:line="240" w:lineRule="auto"/>
        <w:ind w:left="170"/>
        <w:jc w:val="both"/>
        <w:rPr>
          <w:rFonts w:eastAsia="ArialMT" w:cs="Tahoma"/>
          <w:szCs w:val="22"/>
        </w:rPr>
      </w:pPr>
    </w:p>
    <w:p w14:paraId="638C6D92" w14:textId="229F7859" w:rsidR="006257F8" w:rsidRDefault="006257F8" w:rsidP="006257F8">
      <w:pPr>
        <w:pStyle w:val="StyleHeading3Tahoma11pt"/>
        <w:numPr>
          <w:ilvl w:val="0"/>
          <w:numId w:val="0"/>
        </w:numPr>
        <w:spacing w:before="0" w:after="0" w:line="240" w:lineRule="auto"/>
        <w:ind w:left="170" w:hanging="170"/>
        <w:jc w:val="both"/>
        <w:rPr>
          <w:rFonts w:eastAsia="ArialMT" w:cs="Tahoma"/>
          <w:szCs w:val="22"/>
        </w:rPr>
      </w:pPr>
      <w:r w:rsidRPr="00DD79A9">
        <w:rPr>
          <w:rFonts w:eastAsia="ArialMT" w:cs="Tahoma"/>
          <w:szCs w:val="22"/>
        </w:rPr>
        <w:t xml:space="preserve">V </w:t>
      </w:r>
      <w:r w:rsidR="001139B7">
        <w:rPr>
          <w:rFonts w:eastAsia="ArialMT" w:cs="Tahoma"/>
          <w:szCs w:val="22"/>
        </w:rPr>
        <w:t>11</w:t>
      </w:r>
      <w:r w:rsidRPr="00DD79A9">
        <w:rPr>
          <w:rFonts w:eastAsia="ArialMT" w:cs="Tahoma"/>
          <w:szCs w:val="22"/>
        </w:rPr>
        <w:t>. členu se spremeni</w:t>
      </w:r>
      <w:r w:rsidR="001139B7">
        <w:rPr>
          <w:rFonts w:eastAsia="ArialMT" w:cs="Tahoma"/>
          <w:szCs w:val="22"/>
        </w:rPr>
        <w:t xml:space="preserve">ta 3. in </w:t>
      </w:r>
      <w:r w:rsidRPr="00DD79A9">
        <w:rPr>
          <w:rFonts w:eastAsia="ArialMT" w:cs="Tahoma"/>
          <w:szCs w:val="22"/>
        </w:rPr>
        <w:t>4. odstavek</w:t>
      </w:r>
      <w:r w:rsidR="001E7830">
        <w:rPr>
          <w:rFonts w:eastAsia="ArialMT" w:cs="Tahoma"/>
          <w:szCs w:val="22"/>
        </w:rPr>
        <w:t xml:space="preserve"> tako</w:t>
      </w:r>
      <w:r w:rsidRPr="00DD79A9">
        <w:rPr>
          <w:rFonts w:eastAsia="ArialMT" w:cs="Tahoma"/>
          <w:szCs w:val="22"/>
        </w:rPr>
        <w:t xml:space="preserve">, da se </w:t>
      </w:r>
      <w:r w:rsidR="001E7830">
        <w:rPr>
          <w:rFonts w:eastAsia="ArialMT" w:cs="Tahoma"/>
          <w:szCs w:val="22"/>
        </w:rPr>
        <w:t xml:space="preserve">po novem </w:t>
      </w:r>
      <w:r w:rsidRPr="00DD79A9">
        <w:rPr>
          <w:rFonts w:eastAsia="ArialMT" w:cs="Tahoma"/>
          <w:szCs w:val="22"/>
        </w:rPr>
        <w:t>glasi</w:t>
      </w:r>
      <w:r w:rsidR="001139B7">
        <w:rPr>
          <w:rFonts w:eastAsia="ArialMT" w:cs="Tahoma"/>
          <w:szCs w:val="22"/>
        </w:rPr>
        <w:t>ta</w:t>
      </w:r>
      <w:r w:rsidRPr="00DD79A9">
        <w:rPr>
          <w:rFonts w:eastAsia="ArialMT" w:cs="Tahoma"/>
          <w:szCs w:val="22"/>
        </w:rPr>
        <w:t>:</w:t>
      </w:r>
    </w:p>
    <w:p w14:paraId="628C3328" w14:textId="77777777" w:rsidR="00A4566E" w:rsidRPr="00DD79A9" w:rsidRDefault="00A4566E" w:rsidP="006257F8">
      <w:pPr>
        <w:pStyle w:val="StyleHeading3Tahoma11pt"/>
        <w:numPr>
          <w:ilvl w:val="0"/>
          <w:numId w:val="0"/>
        </w:numPr>
        <w:spacing w:before="0" w:after="0" w:line="240" w:lineRule="auto"/>
        <w:ind w:left="170" w:hanging="170"/>
        <w:jc w:val="both"/>
        <w:rPr>
          <w:rFonts w:eastAsia="ArialMT" w:cs="Tahoma"/>
          <w:szCs w:val="22"/>
        </w:rPr>
      </w:pPr>
    </w:p>
    <w:p w14:paraId="34D7413D" w14:textId="2CD1C660" w:rsidR="001139B7" w:rsidRPr="001E7830" w:rsidRDefault="001139B7" w:rsidP="00A4566E">
      <w:pPr>
        <w:pStyle w:val="ODSTAVEK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3) </w:t>
      </w:r>
      <w:r w:rsidRPr="001139B7">
        <w:rPr>
          <w:rFonts w:ascii="Tahoma" w:hAnsi="Tahoma" w:cs="Tahoma"/>
          <w:sz w:val="22"/>
          <w:szCs w:val="22"/>
        </w:rPr>
        <w:t xml:space="preserve">Rok plačila odmerjenega komunalnega prispevka je 15 dni od dokončnosti izdane odločbe Na zahtevo zavezanca lahko občina dovoli obročno odplačevanje komunalnega prispevka, in sicer v največ 24 obrokih, pri tem pa znesek obroka ne sme biti nižji od 30 EUR. </w:t>
      </w:r>
      <w:r w:rsidRPr="001E7830">
        <w:rPr>
          <w:rFonts w:ascii="Tahoma" w:hAnsi="Tahoma" w:cs="Tahoma"/>
          <w:sz w:val="22"/>
          <w:szCs w:val="22"/>
        </w:rPr>
        <w:t>Potrdilo o plačanem komunalnem prispevku izda pristojni občinski organ po plačilu celotnega odmerjenega komunalnega prispevka.</w:t>
      </w:r>
    </w:p>
    <w:p w14:paraId="0B23BD85" w14:textId="77777777" w:rsidR="00AA5D7A" w:rsidRDefault="001139B7" w:rsidP="00AA5D7A">
      <w:pPr>
        <w:pStyle w:val="ODSTAVEK"/>
        <w:numPr>
          <w:ilvl w:val="0"/>
          <w:numId w:val="5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8C1044">
        <w:rPr>
          <w:rFonts w:ascii="Tahoma" w:hAnsi="Tahoma" w:cs="Tahoma"/>
          <w:sz w:val="22"/>
          <w:szCs w:val="22"/>
        </w:rPr>
        <w:t xml:space="preserve">Komunalni prispevek se odmeri za komunalno opremo, na katero se zavezanec priključi – </w:t>
      </w:r>
    </w:p>
    <w:p w14:paraId="40EE9E85" w14:textId="596B7992" w:rsidR="001139B7" w:rsidRPr="008C1044" w:rsidRDefault="001139B7" w:rsidP="00AA5D7A">
      <w:pPr>
        <w:pStyle w:val="ODSTAVEK"/>
        <w:numPr>
          <w:ilvl w:val="0"/>
          <w:numId w:val="0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8C1044">
        <w:rPr>
          <w:rFonts w:ascii="Tahoma" w:hAnsi="Tahoma" w:cs="Tahoma"/>
          <w:sz w:val="22"/>
          <w:szCs w:val="22"/>
        </w:rPr>
        <w:t>vodovodno omrežje in kanalizacijsko omrežje</w:t>
      </w:r>
      <w:r>
        <w:rPr>
          <w:rFonts w:ascii="Tahoma" w:hAnsi="Tahoma" w:cs="Tahoma"/>
          <w:sz w:val="22"/>
          <w:szCs w:val="22"/>
        </w:rPr>
        <w:t xml:space="preserve">, </w:t>
      </w:r>
      <w:r w:rsidRPr="00A4566E">
        <w:rPr>
          <w:rFonts w:ascii="Tahoma" w:hAnsi="Tahoma" w:cs="Tahoma"/>
          <w:sz w:val="22"/>
          <w:szCs w:val="22"/>
        </w:rPr>
        <w:t xml:space="preserve">cestno omrežje in javne površine </w:t>
      </w:r>
      <w:r w:rsidRPr="008C1044">
        <w:rPr>
          <w:rFonts w:ascii="Tahoma" w:hAnsi="Tahoma" w:cs="Tahoma"/>
          <w:sz w:val="22"/>
          <w:szCs w:val="22"/>
        </w:rPr>
        <w:t>oziroma mu je omogočena njena uporaba</w:t>
      </w:r>
      <w:r w:rsidR="00A4566E">
        <w:rPr>
          <w:rFonts w:ascii="Tahoma" w:hAnsi="Tahoma" w:cs="Tahoma"/>
          <w:sz w:val="22"/>
          <w:szCs w:val="22"/>
        </w:rPr>
        <w:t>.</w:t>
      </w:r>
    </w:p>
    <w:p w14:paraId="4BF3D8EE" w14:textId="77777777" w:rsidR="006257F8" w:rsidRDefault="006257F8" w:rsidP="006257F8">
      <w:pPr>
        <w:pStyle w:val="StyleHeading3Tahoma11pt"/>
        <w:numPr>
          <w:ilvl w:val="0"/>
          <w:numId w:val="0"/>
        </w:numPr>
        <w:spacing w:before="0" w:after="0" w:line="240" w:lineRule="auto"/>
        <w:ind w:left="170" w:hanging="170"/>
        <w:jc w:val="both"/>
        <w:rPr>
          <w:rFonts w:eastAsia="ArialMT" w:cs="Tahoma"/>
          <w:szCs w:val="22"/>
        </w:rPr>
      </w:pPr>
    </w:p>
    <w:p w14:paraId="64D5F8A0" w14:textId="77777777" w:rsidR="006257F8" w:rsidRDefault="006257F8" w:rsidP="006257F8">
      <w:pPr>
        <w:pStyle w:val="StyleHeading3Tahoma11pt"/>
        <w:spacing w:before="0" w:after="0" w:line="240" w:lineRule="auto"/>
        <w:rPr>
          <w:rFonts w:eastAsia="ArialMT" w:cs="Tahoma"/>
          <w:szCs w:val="22"/>
        </w:rPr>
      </w:pPr>
      <w:r w:rsidRPr="00DD79A9">
        <w:rPr>
          <w:rFonts w:eastAsia="ArialMT" w:cs="Tahoma"/>
          <w:szCs w:val="22"/>
        </w:rPr>
        <w:t>člen</w:t>
      </w:r>
    </w:p>
    <w:p w14:paraId="7FB00DFA" w14:textId="77777777" w:rsidR="006257F8" w:rsidRDefault="006257F8" w:rsidP="006257F8">
      <w:pPr>
        <w:pStyle w:val="StyleHeading3Tahoma11pt"/>
        <w:numPr>
          <w:ilvl w:val="0"/>
          <w:numId w:val="0"/>
        </w:numPr>
        <w:spacing w:before="0" w:after="0" w:line="240" w:lineRule="auto"/>
        <w:ind w:left="170"/>
        <w:jc w:val="both"/>
        <w:rPr>
          <w:rFonts w:eastAsia="ArialMT" w:cs="Tahoma"/>
          <w:szCs w:val="22"/>
        </w:rPr>
      </w:pPr>
    </w:p>
    <w:p w14:paraId="201539B1" w14:textId="455C3357" w:rsidR="006257F8" w:rsidRPr="00DD79A9" w:rsidRDefault="006257F8" w:rsidP="006257F8">
      <w:pPr>
        <w:pStyle w:val="ODSTAVEK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 w:rsidRPr="00DD79A9">
        <w:rPr>
          <w:rFonts w:ascii="Tahoma" w:hAnsi="Tahoma" w:cs="Tahoma"/>
          <w:sz w:val="22"/>
          <w:szCs w:val="22"/>
        </w:rPr>
        <w:t xml:space="preserve">V </w:t>
      </w:r>
      <w:r w:rsidR="00A4566E">
        <w:rPr>
          <w:rFonts w:ascii="Tahoma" w:hAnsi="Tahoma" w:cs="Tahoma"/>
          <w:sz w:val="22"/>
          <w:szCs w:val="22"/>
        </w:rPr>
        <w:t>14</w:t>
      </w:r>
      <w:r w:rsidRPr="00DD79A9">
        <w:rPr>
          <w:rFonts w:ascii="Tahoma" w:hAnsi="Tahoma" w:cs="Tahoma"/>
          <w:sz w:val="22"/>
          <w:szCs w:val="22"/>
        </w:rPr>
        <w:t>. členu se spremeni 1. odstav</w:t>
      </w:r>
      <w:r w:rsidR="00A4566E">
        <w:rPr>
          <w:rFonts w:ascii="Tahoma" w:hAnsi="Tahoma" w:cs="Tahoma"/>
          <w:sz w:val="22"/>
          <w:szCs w:val="22"/>
        </w:rPr>
        <w:t>e</w:t>
      </w:r>
      <w:r w:rsidRPr="00DD79A9">
        <w:rPr>
          <w:rFonts w:ascii="Tahoma" w:hAnsi="Tahoma" w:cs="Tahoma"/>
          <w:sz w:val="22"/>
          <w:szCs w:val="22"/>
        </w:rPr>
        <w:t>k tako, da</w:t>
      </w:r>
      <w:r>
        <w:rPr>
          <w:rFonts w:ascii="Tahoma" w:hAnsi="Tahoma" w:cs="Tahoma"/>
          <w:sz w:val="22"/>
          <w:szCs w:val="22"/>
        </w:rPr>
        <w:t xml:space="preserve"> se </w:t>
      </w:r>
      <w:r w:rsidR="001E7830">
        <w:rPr>
          <w:rFonts w:ascii="Tahoma" w:hAnsi="Tahoma" w:cs="Tahoma"/>
          <w:sz w:val="22"/>
          <w:szCs w:val="22"/>
        </w:rPr>
        <w:t xml:space="preserve">po novem </w:t>
      </w:r>
      <w:r>
        <w:rPr>
          <w:rFonts w:ascii="Tahoma" w:hAnsi="Tahoma" w:cs="Tahoma"/>
          <w:sz w:val="22"/>
          <w:szCs w:val="22"/>
        </w:rPr>
        <w:t>glasi</w:t>
      </w:r>
      <w:r w:rsidRPr="00DD79A9">
        <w:rPr>
          <w:rFonts w:ascii="Tahoma" w:hAnsi="Tahoma" w:cs="Tahoma"/>
          <w:sz w:val="22"/>
          <w:szCs w:val="22"/>
        </w:rPr>
        <w:t>:</w:t>
      </w:r>
    </w:p>
    <w:p w14:paraId="03C330EA" w14:textId="77777777" w:rsidR="00A4566E" w:rsidRPr="008C1044" w:rsidRDefault="00A4566E" w:rsidP="00A4566E">
      <w:pPr>
        <w:pStyle w:val="ODSTAVEK"/>
        <w:numPr>
          <w:ilvl w:val="0"/>
          <w:numId w:val="4"/>
        </w:numPr>
        <w:ind w:left="0" w:firstLine="0"/>
        <w:rPr>
          <w:rFonts w:ascii="Tahoma" w:hAnsi="Tahoma" w:cs="Tahoma"/>
          <w:sz w:val="22"/>
          <w:szCs w:val="22"/>
        </w:rPr>
      </w:pPr>
      <w:r w:rsidRPr="008C1044">
        <w:rPr>
          <w:rFonts w:ascii="Tahoma" w:hAnsi="Tahoma" w:cs="Tahoma"/>
          <w:sz w:val="22"/>
          <w:szCs w:val="22"/>
        </w:rPr>
        <w:t>Komunalni prispevek se ne plača za gradnjo gospodarske javne infrastrukture, ki za svoje delovanje ne potrebuje komunalne opreme oziroma nima samostojnih priključkov na komunalno opremo.</w:t>
      </w:r>
    </w:p>
    <w:p w14:paraId="7238311C" w14:textId="77777777" w:rsidR="00A4566E" w:rsidRPr="001E7830" w:rsidRDefault="00A4566E" w:rsidP="00A4566E">
      <w:pPr>
        <w:rPr>
          <w:rFonts w:ascii="Tahoma" w:eastAsia="ArialMT" w:hAnsi="Tahoma" w:cs="Tahoma"/>
          <w:sz w:val="22"/>
          <w:szCs w:val="22"/>
        </w:rPr>
      </w:pPr>
      <w:r w:rsidRPr="008C1044">
        <w:rPr>
          <w:rFonts w:ascii="Tahoma" w:eastAsia="ArialMT" w:hAnsi="Tahoma" w:cs="Tahoma"/>
          <w:sz w:val="22"/>
          <w:szCs w:val="22"/>
        </w:rPr>
        <w:lastRenderedPageBreak/>
        <w:t>Komunalni prispevek se ne plača za gradnjo enostavnih objektov</w:t>
      </w:r>
      <w:r>
        <w:rPr>
          <w:rFonts w:ascii="Tahoma" w:eastAsia="ArialMT" w:hAnsi="Tahoma" w:cs="Tahoma"/>
          <w:sz w:val="22"/>
          <w:szCs w:val="22"/>
        </w:rPr>
        <w:t xml:space="preserve">. </w:t>
      </w:r>
      <w:r w:rsidRPr="001E7830">
        <w:rPr>
          <w:rFonts w:ascii="Tahoma" w:eastAsia="ArialMT" w:hAnsi="Tahoma" w:cs="Tahoma"/>
          <w:sz w:val="22"/>
          <w:szCs w:val="22"/>
        </w:rPr>
        <w:t>Komunalni prispevek se tudi ne plača za gradnjo nezahtevnih objektov, če so brez samostojnih priključkov na komunalno opremo in se gradijo kot pomožni objekti, ki dopolnjujejo funkcijo osnovnega objekta.</w:t>
      </w:r>
    </w:p>
    <w:p w14:paraId="457C6CC2" w14:textId="0D175FA1" w:rsidR="006257F8" w:rsidRPr="001E7830" w:rsidRDefault="003319E5" w:rsidP="00A4566E">
      <w:pPr>
        <w:pStyle w:val="Normalalinea"/>
        <w:numPr>
          <w:ilvl w:val="0"/>
          <w:numId w:val="0"/>
        </w:numPr>
        <w:rPr>
          <w:rFonts w:ascii="Tahoma" w:hAnsi="Tahoma" w:cs="Tahoma"/>
          <w:sz w:val="22"/>
        </w:rPr>
      </w:pPr>
      <w:r w:rsidRPr="001E7830">
        <w:rPr>
          <w:rFonts w:ascii="Tahoma" w:hAnsi="Tahoma" w:cs="Tahoma"/>
          <w:sz w:val="22"/>
        </w:rPr>
        <w:t xml:space="preserve">Členu se doda nov 6. odstavek, ki se </w:t>
      </w:r>
      <w:r w:rsidR="001E7830">
        <w:rPr>
          <w:rFonts w:ascii="Tahoma" w:hAnsi="Tahoma" w:cs="Tahoma"/>
          <w:sz w:val="22"/>
        </w:rPr>
        <w:t xml:space="preserve">po novem </w:t>
      </w:r>
      <w:r w:rsidRPr="001E7830">
        <w:rPr>
          <w:rFonts w:ascii="Tahoma" w:hAnsi="Tahoma" w:cs="Tahoma"/>
          <w:sz w:val="22"/>
        </w:rPr>
        <w:t>glasi:</w:t>
      </w:r>
    </w:p>
    <w:p w14:paraId="159FE264" w14:textId="77777777" w:rsidR="003319E5" w:rsidRPr="001E7830" w:rsidRDefault="003319E5" w:rsidP="003319E5">
      <w:pPr>
        <w:pStyle w:val="ODSTAVEK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1E7830">
        <w:rPr>
          <w:sz w:val="22"/>
          <w:szCs w:val="22"/>
        </w:rPr>
        <w:t xml:space="preserve">V primeru legalizacije obstoječega objekta v celoti, se komunalni prispevek zanj </w:t>
      </w:r>
    </w:p>
    <w:p w14:paraId="0B29376D" w14:textId="78635424" w:rsidR="003319E5" w:rsidRPr="001E7830" w:rsidRDefault="003319E5" w:rsidP="003319E5">
      <w:pPr>
        <w:pStyle w:val="ODSTAVEK"/>
        <w:numPr>
          <w:ilvl w:val="0"/>
          <w:numId w:val="0"/>
        </w:numPr>
        <w:spacing w:after="0" w:line="240" w:lineRule="auto"/>
        <w:rPr>
          <w:sz w:val="22"/>
          <w:szCs w:val="22"/>
        </w:rPr>
      </w:pPr>
      <w:r w:rsidRPr="001E7830">
        <w:rPr>
          <w:sz w:val="22"/>
          <w:szCs w:val="22"/>
        </w:rPr>
        <w:t>obračuna kot za novogradnjo.</w:t>
      </w:r>
    </w:p>
    <w:p w14:paraId="21A2244D" w14:textId="77777777" w:rsidR="003319E5" w:rsidRPr="001E7830" w:rsidRDefault="003319E5" w:rsidP="00A4566E">
      <w:pPr>
        <w:pStyle w:val="Normalalinea"/>
        <w:numPr>
          <w:ilvl w:val="0"/>
          <w:numId w:val="0"/>
        </w:numPr>
        <w:rPr>
          <w:rFonts w:ascii="Tahoma" w:hAnsi="Tahoma" w:cs="Tahoma"/>
          <w:sz w:val="22"/>
        </w:rPr>
      </w:pPr>
    </w:p>
    <w:p w14:paraId="555484F9" w14:textId="7116ADC9" w:rsidR="003319E5" w:rsidRPr="00DD79A9" w:rsidRDefault="001E7830" w:rsidP="00A4566E">
      <w:pPr>
        <w:pStyle w:val="Normalalinea"/>
        <w:numPr>
          <w:ilvl w:val="0"/>
          <w:numId w:val="0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Sedanji 7. in 8. odstavek</w:t>
      </w:r>
      <w:r w:rsidR="003319E5">
        <w:rPr>
          <w:rFonts w:ascii="Tahoma" w:hAnsi="Tahoma" w:cs="Tahoma"/>
          <w:sz w:val="22"/>
        </w:rPr>
        <w:t xml:space="preserve"> se ustrezno preštevilči</w:t>
      </w:r>
      <w:r>
        <w:rPr>
          <w:rFonts w:ascii="Tahoma" w:hAnsi="Tahoma" w:cs="Tahoma"/>
          <w:sz w:val="22"/>
        </w:rPr>
        <w:t>ta</w:t>
      </w:r>
      <w:r w:rsidR="003319E5">
        <w:rPr>
          <w:rFonts w:ascii="Tahoma" w:hAnsi="Tahoma" w:cs="Tahoma"/>
          <w:sz w:val="22"/>
        </w:rPr>
        <w:t>.</w:t>
      </w:r>
    </w:p>
    <w:p w14:paraId="51651AFA" w14:textId="77777777" w:rsidR="006257F8" w:rsidRPr="00DD79A9" w:rsidRDefault="006257F8" w:rsidP="006257F8">
      <w:pPr>
        <w:pStyle w:val="Naslov3"/>
        <w:rPr>
          <w:rFonts w:ascii="Tahoma" w:eastAsia="ArialMT" w:hAnsi="Tahoma" w:cs="Tahoma"/>
          <w:b w:val="0"/>
          <w:sz w:val="22"/>
          <w:szCs w:val="22"/>
        </w:rPr>
      </w:pPr>
      <w:r w:rsidRPr="00DD79A9">
        <w:rPr>
          <w:rFonts w:ascii="Tahoma" w:eastAsia="ArialMT" w:hAnsi="Tahoma" w:cs="Tahoma"/>
          <w:b w:val="0"/>
          <w:sz w:val="22"/>
          <w:szCs w:val="22"/>
        </w:rPr>
        <w:t>člen</w:t>
      </w:r>
    </w:p>
    <w:p w14:paraId="2EC8D41E" w14:textId="5C12BCB3" w:rsidR="006257F8" w:rsidRPr="00DD79A9" w:rsidRDefault="006257F8" w:rsidP="006257F8">
      <w:pPr>
        <w:pStyle w:val="Naslov3"/>
        <w:numPr>
          <w:ilvl w:val="0"/>
          <w:numId w:val="0"/>
        </w:numPr>
        <w:spacing w:before="0" w:after="0" w:line="240" w:lineRule="auto"/>
        <w:jc w:val="both"/>
        <w:rPr>
          <w:rFonts w:ascii="Tahoma" w:hAnsi="Tahoma" w:cs="Tahoma"/>
          <w:b w:val="0"/>
          <w:sz w:val="22"/>
          <w:szCs w:val="22"/>
        </w:rPr>
      </w:pPr>
      <w:r w:rsidRPr="00DD79A9">
        <w:rPr>
          <w:rFonts w:ascii="Tahoma" w:hAnsi="Tahoma" w:cs="Tahoma"/>
          <w:b w:val="0"/>
          <w:sz w:val="22"/>
          <w:szCs w:val="22"/>
        </w:rPr>
        <w:t>V 1</w:t>
      </w:r>
      <w:r w:rsidR="003319E5">
        <w:rPr>
          <w:rFonts w:ascii="Tahoma" w:hAnsi="Tahoma" w:cs="Tahoma"/>
          <w:b w:val="0"/>
          <w:sz w:val="22"/>
          <w:szCs w:val="22"/>
        </w:rPr>
        <w:t>5</w:t>
      </w:r>
      <w:r w:rsidRPr="00DD79A9">
        <w:rPr>
          <w:rFonts w:ascii="Tahoma" w:hAnsi="Tahoma" w:cs="Tahoma"/>
          <w:b w:val="0"/>
          <w:sz w:val="22"/>
          <w:szCs w:val="22"/>
        </w:rPr>
        <w:t xml:space="preserve">. členu se </w:t>
      </w:r>
      <w:r w:rsidR="003319E5">
        <w:rPr>
          <w:rFonts w:ascii="Tahoma" w:hAnsi="Tahoma" w:cs="Tahoma"/>
          <w:b w:val="0"/>
          <w:sz w:val="22"/>
          <w:szCs w:val="22"/>
        </w:rPr>
        <w:t>dodajo še 2., 3. in 4.</w:t>
      </w:r>
      <w:r w:rsidRPr="00DD79A9">
        <w:rPr>
          <w:rFonts w:ascii="Tahoma" w:hAnsi="Tahoma" w:cs="Tahoma"/>
          <w:b w:val="0"/>
          <w:sz w:val="22"/>
          <w:szCs w:val="22"/>
        </w:rPr>
        <w:t xml:space="preserve"> odstavek </w:t>
      </w:r>
      <w:r>
        <w:rPr>
          <w:rFonts w:ascii="Tahoma" w:hAnsi="Tahoma" w:cs="Tahoma"/>
          <w:b w:val="0"/>
          <w:sz w:val="22"/>
          <w:szCs w:val="22"/>
        </w:rPr>
        <w:t>tako</w:t>
      </w:r>
      <w:r w:rsidRPr="00DD79A9">
        <w:rPr>
          <w:rFonts w:ascii="Tahoma" w:hAnsi="Tahoma" w:cs="Tahoma"/>
          <w:b w:val="0"/>
          <w:sz w:val="22"/>
          <w:szCs w:val="22"/>
        </w:rPr>
        <w:t xml:space="preserve">, da se </w:t>
      </w:r>
      <w:r w:rsidR="003319E5">
        <w:rPr>
          <w:rFonts w:ascii="Tahoma" w:hAnsi="Tahoma" w:cs="Tahoma"/>
          <w:b w:val="0"/>
          <w:sz w:val="22"/>
          <w:szCs w:val="22"/>
        </w:rPr>
        <w:t xml:space="preserve">člen </w:t>
      </w:r>
      <w:r w:rsidR="001E7830">
        <w:rPr>
          <w:rFonts w:ascii="Tahoma" w:hAnsi="Tahoma" w:cs="Tahoma"/>
          <w:b w:val="0"/>
          <w:sz w:val="22"/>
          <w:szCs w:val="22"/>
        </w:rPr>
        <w:t xml:space="preserve">po novem </w:t>
      </w:r>
      <w:r w:rsidRPr="00DD79A9">
        <w:rPr>
          <w:rFonts w:ascii="Tahoma" w:hAnsi="Tahoma" w:cs="Tahoma"/>
          <w:b w:val="0"/>
          <w:sz w:val="22"/>
          <w:szCs w:val="22"/>
        </w:rPr>
        <w:t>glasi:</w:t>
      </w:r>
    </w:p>
    <w:p w14:paraId="56E25B1A" w14:textId="77777777" w:rsidR="003319E5" w:rsidRDefault="003319E5" w:rsidP="003319E5">
      <w:pPr>
        <w:pStyle w:val="ODSTAVEK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8C1044">
        <w:rPr>
          <w:rFonts w:ascii="Tahoma" w:hAnsi="Tahoma" w:cs="Tahoma"/>
          <w:sz w:val="22"/>
          <w:szCs w:val="22"/>
        </w:rPr>
        <w:t xml:space="preserve">Pri odmeri komunalnega prispevka Občina, na zahtevo zavezanca, upošteva morebitne že plačane prispevke za gradnjo posamezne vrste komunalne opreme na podlagi predloženih dokazil o plačilu in za tako ugotovljene </w:t>
      </w:r>
      <w:r>
        <w:rPr>
          <w:rFonts w:ascii="Tahoma" w:hAnsi="Tahoma" w:cs="Tahoma"/>
          <w:sz w:val="22"/>
          <w:szCs w:val="22"/>
        </w:rPr>
        <w:t>valorizirane</w:t>
      </w:r>
      <w:r w:rsidRPr="008C1044">
        <w:rPr>
          <w:rFonts w:ascii="Tahoma" w:hAnsi="Tahoma" w:cs="Tahoma"/>
          <w:sz w:val="22"/>
          <w:szCs w:val="22"/>
        </w:rPr>
        <w:t xml:space="preserve"> prispevke zniža plačilo odmerjenega komunalnega prispevka.</w:t>
      </w:r>
    </w:p>
    <w:p w14:paraId="44CDD255" w14:textId="77777777" w:rsidR="003319E5" w:rsidRPr="001E7830" w:rsidRDefault="003319E5" w:rsidP="003319E5">
      <w:pPr>
        <w:pStyle w:val="ODSTAVEK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1E7830">
        <w:rPr>
          <w:rFonts w:ascii="Tahoma" w:hAnsi="Tahoma" w:cs="Tahoma"/>
          <w:sz w:val="22"/>
          <w:szCs w:val="22"/>
        </w:rPr>
        <w:t xml:space="preserve">Pri uveljavljanju preteklih vlaganj je zavezanec dolžan predložiti gradbeno dovoljenje ter tudi dokumentacijo glede zmogljivosti, namembnosti in komunalne opremljenosti obstoječega ali odstranjenega objekta. </w:t>
      </w:r>
    </w:p>
    <w:p w14:paraId="270AD136" w14:textId="77777777" w:rsidR="003319E5" w:rsidRPr="001E7830" w:rsidRDefault="003319E5" w:rsidP="003319E5">
      <w:pPr>
        <w:pStyle w:val="ODSTAVEK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1E7830">
        <w:rPr>
          <w:rFonts w:ascii="Tahoma" w:hAnsi="Tahoma" w:cs="Tahoma"/>
          <w:sz w:val="22"/>
          <w:szCs w:val="22"/>
        </w:rPr>
        <w:t xml:space="preserve">Če dokazov o pridobljenem gradbenem dovoljenju ni ali ni dokazil o predhodnih vlaganjih za komunalno opremo, upoštevanje preteklih vlaganj pri odmeri komunalnega prispevka ni možno. </w:t>
      </w:r>
    </w:p>
    <w:p w14:paraId="6508BF49" w14:textId="39581516" w:rsidR="003319E5" w:rsidRPr="001E7830" w:rsidRDefault="003319E5" w:rsidP="003319E5">
      <w:pPr>
        <w:pStyle w:val="ODSTAVEK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1E7830">
        <w:rPr>
          <w:rFonts w:ascii="Tahoma" w:hAnsi="Tahoma" w:cs="Tahoma"/>
          <w:sz w:val="22"/>
          <w:szCs w:val="22"/>
        </w:rPr>
        <w:t xml:space="preserve">Upoštevanje odstranjenih objektov je možno le v primeru, če so bili zgrajeni na podlagi gradbenega dovoljenja in če od odstranitve objekta ni preteklo več kot 5 let ter gre za novogradnjo na isti gradbeni parceli. </w:t>
      </w:r>
    </w:p>
    <w:p w14:paraId="30598917" w14:textId="77777777" w:rsidR="006257F8" w:rsidRPr="00DD79A9" w:rsidRDefault="006257F8" w:rsidP="006257F8">
      <w:pPr>
        <w:pStyle w:val="Naslov4"/>
        <w:rPr>
          <w:rFonts w:ascii="Tahoma" w:hAnsi="Tahoma" w:cs="Tahoma"/>
          <w:sz w:val="22"/>
          <w:szCs w:val="22"/>
        </w:rPr>
      </w:pPr>
    </w:p>
    <w:p w14:paraId="75ED1024" w14:textId="77777777" w:rsidR="006257F8" w:rsidRPr="00DD79A9" w:rsidRDefault="006257F8" w:rsidP="006257F8">
      <w:pPr>
        <w:pStyle w:val="StyleHeading3Tahoma11pt"/>
        <w:spacing w:before="0" w:after="0" w:line="240" w:lineRule="auto"/>
        <w:rPr>
          <w:rFonts w:eastAsia="ArialMT" w:cs="Tahoma"/>
          <w:szCs w:val="22"/>
        </w:rPr>
      </w:pPr>
      <w:r w:rsidRPr="00DD79A9">
        <w:rPr>
          <w:rFonts w:eastAsia="ArialMT" w:cs="Tahoma"/>
          <w:szCs w:val="22"/>
        </w:rPr>
        <w:t>člen</w:t>
      </w:r>
    </w:p>
    <w:p w14:paraId="22913EA6" w14:textId="77777777" w:rsidR="006257F8" w:rsidRDefault="006257F8" w:rsidP="006257F8">
      <w:pPr>
        <w:pStyle w:val="ODSTAVEK"/>
        <w:numPr>
          <w:ilvl w:val="0"/>
          <w:numId w:val="0"/>
        </w:numPr>
        <w:spacing w:after="0" w:line="240" w:lineRule="auto"/>
        <w:rPr>
          <w:rFonts w:ascii="Tahoma" w:hAnsi="Tahoma" w:cs="Tahoma"/>
          <w:sz w:val="22"/>
          <w:szCs w:val="22"/>
        </w:rPr>
      </w:pPr>
    </w:p>
    <w:p w14:paraId="391D2CAA" w14:textId="3D252FFE" w:rsidR="006257F8" w:rsidRPr="00DD79A9" w:rsidRDefault="006257F8" w:rsidP="006257F8">
      <w:pPr>
        <w:pStyle w:val="ODSTAVEK"/>
        <w:numPr>
          <w:ilvl w:val="0"/>
          <w:numId w:val="0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DD79A9">
        <w:rPr>
          <w:rFonts w:ascii="Tahoma" w:hAnsi="Tahoma" w:cs="Tahoma"/>
          <w:sz w:val="22"/>
          <w:szCs w:val="22"/>
        </w:rPr>
        <w:t xml:space="preserve">Ta odlok prične veljati </w:t>
      </w:r>
      <w:r w:rsidR="001E7830">
        <w:rPr>
          <w:rFonts w:ascii="Tahoma" w:hAnsi="Tahoma" w:cs="Tahoma"/>
          <w:sz w:val="22"/>
          <w:szCs w:val="22"/>
        </w:rPr>
        <w:t>naslednji dan po</w:t>
      </w:r>
      <w:r w:rsidRPr="00DD79A9">
        <w:rPr>
          <w:rFonts w:ascii="Tahoma" w:hAnsi="Tahoma" w:cs="Tahoma"/>
          <w:sz w:val="22"/>
          <w:szCs w:val="22"/>
        </w:rPr>
        <w:t xml:space="preserve"> objav</w:t>
      </w:r>
      <w:r w:rsidR="001E7830">
        <w:rPr>
          <w:rFonts w:ascii="Tahoma" w:hAnsi="Tahoma" w:cs="Tahoma"/>
          <w:sz w:val="22"/>
          <w:szCs w:val="22"/>
        </w:rPr>
        <w:t>i</w:t>
      </w:r>
      <w:r w:rsidRPr="00DD79A9">
        <w:rPr>
          <w:rFonts w:ascii="Tahoma" w:hAnsi="Tahoma" w:cs="Tahoma"/>
          <w:sz w:val="22"/>
          <w:szCs w:val="22"/>
        </w:rPr>
        <w:t xml:space="preserve"> v Uradnem listu Republike Slovenije.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3267"/>
        <w:gridCol w:w="1132"/>
      </w:tblGrid>
      <w:tr w:rsidR="006257F8" w:rsidRPr="00DD79A9" w14:paraId="59C9D3F7" w14:textId="77777777" w:rsidTr="00040474">
        <w:trPr>
          <w:trHeight w:val="284"/>
        </w:trPr>
        <w:tc>
          <w:tcPr>
            <w:tcW w:w="4671" w:type="dxa"/>
          </w:tcPr>
          <w:p w14:paraId="2F473EBD" w14:textId="77777777" w:rsidR="006257F8" w:rsidRPr="00DD79A9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</w:p>
        </w:tc>
        <w:tc>
          <w:tcPr>
            <w:tcW w:w="3267" w:type="dxa"/>
          </w:tcPr>
          <w:p w14:paraId="5B3EAF5A" w14:textId="77777777" w:rsidR="006257F8" w:rsidRPr="00DD79A9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</w:p>
        </w:tc>
        <w:tc>
          <w:tcPr>
            <w:tcW w:w="1132" w:type="dxa"/>
          </w:tcPr>
          <w:p w14:paraId="0ED9EF9B" w14:textId="77777777" w:rsidR="006257F8" w:rsidRPr="00DD79A9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</w:p>
        </w:tc>
      </w:tr>
      <w:tr w:rsidR="006257F8" w:rsidRPr="00DD79A9" w14:paraId="4657536A" w14:textId="77777777" w:rsidTr="00040474">
        <w:trPr>
          <w:trHeight w:val="284"/>
        </w:trPr>
        <w:tc>
          <w:tcPr>
            <w:tcW w:w="4671" w:type="dxa"/>
          </w:tcPr>
          <w:p w14:paraId="2ED58F96" w14:textId="77777777" w:rsidR="006257F8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</w:p>
          <w:p w14:paraId="51F233B3" w14:textId="77777777" w:rsidR="006257F8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</w:p>
          <w:p w14:paraId="53B63B6F" w14:textId="77777777" w:rsidR="006257F8" w:rsidRPr="00DD79A9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  <w:r w:rsidRPr="00DD79A9">
              <w:rPr>
                <w:rFonts w:ascii="Tahoma" w:eastAsia="ArialMT" w:hAnsi="Tahoma" w:cs="Tahoma"/>
                <w:sz w:val="22"/>
                <w:szCs w:val="22"/>
              </w:rPr>
              <w:t>Št.</w:t>
            </w:r>
            <w:r w:rsidR="005723F4">
              <w:rPr>
                <w:rFonts w:ascii="Tahoma" w:eastAsia="ArialMT" w:hAnsi="Tahoma" w:cs="Tahoma"/>
                <w:sz w:val="22"/>
                <w:szCs w:val="22"/>
              </w:rPr>
              <w:t xml:space="preserve"> 430-0002/2019</w:t>
            </w:r>
          </w:p>
        </w:tc>
        <w:tc>
          <w:tcPr>
            <w:tcW w:w="3267" w:type="dxa"/>
          </w:tcPr>
          <w:p w14:paraId="1112F043" w14:textId="77777777" w:rsidR="006257F8" w:rsidRPr="00DD79A9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</w:p>
        </w:tc>
        <w:tc>
          <w:tcPr>
            <w:tcW w:w="1132" w:type="dxa"/>
          </w:tcPr>
          <w:p w14:paraId="1E97F323" w14:textId="77777777" w:rsidR="006257F8" w:rsidRPr="00DD79A9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</w:p>
        </w:tc>
      </w:tr>
      <w:tr w:rsidR="006257F8" w:rsidRPr="00DD79A9" w14:paraId="56395C9F" w14:textId="77777777" w:rsidTr="00040474">
        <w:trPr>
          <w:trHeight w:val="284"/>
        </w:trPr>
        <w:tc>
          <w:tcPr>
            <w:tcW w:w="4671" w:type="dxa"/>
          </w:tcPr>
          <w:p w14:paraId="1F27F136" w14:textId="2B338384" w:rsidR="006257F8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  <w:r w:rsidRPr="00DD79A9">
              <w:rPr>
                <w:rFonts w:ascii="Tahoma" w:eastAsia="ArialMT" w:hAnsi="Tahoma" w:cs="Tahoma"/>
                <w:sz w:val="22"/>
                <w:szCs w:val="22"/>
              </w:rPr>
              <w:t>Breznica, dne</w:t>
            </w:r>
            <w:r w:rsidR="005723F4">
              <w:rPr>
                <w:rFonts w:ascii="Tahoma" w:eastAsia="ArialMT" w:hAnsi="Tahoma" w:cs="Tahoma"/>
                <w:sz w:val="22"/>
                <w:szCs w:val="22"/>
              </w:rPr>
              <w:t xml:space="preserve"> </w:t>
            </w:r>
            <w:r w:rsidR="003319E5">
              <w:rPr>
                <w:rFonts w:ascii="Tahoma" w:eastAsia="ArialMT" w:hAnsi="Tahoma" w:cs="Tahoma"/>
                <w:sz w:val="22"/>
                <w:szCs w:val="22"/>
              </w:rPr>
              <w:t>12</w:t>
            </w:r>
            <w:r w:rsidR="005723F4">
              <w:rPr>
                <w:rFonts w:ascii="Tahoma" w:eastAsia="ArialMT" w:hAnsi="Tahoma" w:cs="Tahoma"/>
                <w:sz w:val="22"/>
                <w:szCs w:val="22"/>
              </w:rPr>
              <w:t xml:space="preserve">. </w:t>
            </w:r>
            <w:r w:rsidR="003319E5">
              <w:rPr>
                <w:rFonts w:ascii="Tahoma" w:eastAsia="ArialMT" w:hAnsi="Tahoma" w:cs="Tahoma"/>
                <w:sz w:val="22"/>
                <w:szCs w:val="22"/>
              </w:rPr>
              <w:t>novembra</w:t>
            </w:r>
            <w:r w:rsidR="005723F4">
              <w:rPr>
                <w:rFonts w:ascii="Tahoma" w:eastAsia="ArialMT" w:hAnsi="Tahoma" w:cs="Tahoma"/>
                <w:sz w:val="22"/>
                <w:szCs w:val="22"/>
              </w:rPr>
              <w:t xml:space="preserve"> 202</w:t>
            </w:r>
            <w:r w:rsidR="003319E5">
              <w:rPr>
                <w:rFonts w:ascii="Tahoma" w:eastAsia="ArialMT" w:hAnsi="Tahoma" w:cs="Tahoma"/>
                <w:sz w:val="22"/>
                <w:szCs w:val="22"/>
              </w:rPr>
              <w:t>1</w:t>
            </w:r>
          </w:p>
          <w:p w14:paraId="5A5D6714" w14:textId="77777777" w:rsidR="005723F4" w:rsidRPr="00DD79A9" w:rsidRDefault="005723F4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</w:p>
        </w:tc>
        <w:tc>
          <w:tcPr>
            <w:tcW w:w="3267" w:type="dxa"/>
          </w:tcPr>
          <w:p w14:paraId="4C484886" w14:textId="77777777" w:rsidR="006257F8" w:rsidRPr="00DD79A9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</w:p>
        </w:tc>
        <w:tc>
          <w:tcPr>
            <w:tcW w:w="1132" w:type="dxa"/>
          </w:tcPr>
          <w:p w14:paraId="0C1329DB" w14:textId="77777777" w:rsidR="006257F8" w:rsidRPr="00DD79A9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</w:p>
        </w:tc>
      </w:tr>
      <w:tr w:rsidR="006257F8" w:rsidRPr="00DD79A9" w14:paraId="1A0CA7BD" w14:textId="77777777" w:rsidTr="00040474">
        <w:trPr>
          <w:trHeight w:val="284"/>
        </w:trPr>
        <w:tc>
          <w:tcPr>
            <w:tcW w:w="4671" w:type="dxa"/>
          </w:tcPr>
          <w:p w14:paraId="71A32417" w14:textId="77777777" w:rsidR="006257F8" w:rsidRPr="00DD79A9" w:rsidRDefault="006257F8" w:rsidP="00040474">
            <w:pPr>
              <w:pStyle w:val="Normal-Table"/>
              <w:jc w:val="center"/>
              <w:rPr>
                <w:rFonts w:ascii="Tahoma" w:eastAsia="ArialMT" w:hAnsi="Tahoma" w:cs="Tahoma"/>
                <w:sz w:val="22"/>
                <w:szCs w:val="22"/>
              </w:rPr>
            </w:pPr>
          </w:p>
        </w:tc>
        <w:tc>
          <w:tcPr>
            <w:tcW w:w="3267" w:type="dxa"/>
          </w:tcPr>
          <w:p w14:paraId="1AAC6884" w14:textId="77777777" w:rsidR="006257F8" w:rsidRPr="00DD79A9" w:rsidRDefault="006257F8" w:rsidP="00040474">
            <w:pPr>
              <w:pStyle w:val="Normal-Table"/>
              <w:jc w:val="center"/>
              <w:rPr>
                <w:rFonts w:ascii="Tahoma" w:eastAsia="ArialMT" w:hAnsi="Tahoma" w:cs="Tahoma"/>
                <w:sz w:val="22"/>
                <w:szCs w:val="22"/>
              </w:rPr>
            </w:pPr>
            <w:r w:rsidRPr="00DD79A9">
              <w:rPr>
                <w:rFonts w:ascii="Tahoma" w:eastAsia="ArialMT" w:hAnsi="Tahoma" w:cs="Tahoma"/>
                <w:sz w:val="22"/>
                <w:szCs w:val="22"/>
              </w:rPr>
              <w:t>Župan</w:t>
            </w:r>
          </w:p>
        </w:tc>
        <w:tc>
          <w:tcPr>
            <w:tcW w:w="1132" w:type="dxa"/>
          </w:tcPr>
          <w:p w14:paraId="633241A1" w14:textId="77777777" w:rsidR="006257F8" w:rsidRPr="00DD79A9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</w:p>
        </w:tc>
      </w:tr>
      <w:tr w:rsidR="006257F8" w:rsidRPr="00DD79A9" w14:paraId="1596E42A" w14:textId="77777777" w:rsidTr="00040474">
        <w:trPr>
          <w:trHeight w:val="284"/>
        </w:trPr>
        <w:tc>
          <w:tcPr>
            <w:tcW w:w="4671" w:type="dxa"/>
          </w:tcPr>
          <w:p w14:paraId="728BC6DD" w14:textId="77777777" w:rsidR="006257F8" w:rsidRPr="00DD79A9" w:rsidRDefault="006257F8" w:rsidP="00040474">
            <w:pPr>
              <w:pStyle w:val="Normal-Table"/>
              <w:jc w:val="center"/>
              <w:rPr>
                <w:rFonts w:ascii="Tahoma" w:eastAsia="ArialMT" w:hAnsi="Tahoma" w:cs="Tahoma"/>
                <w:sz w:val="22"/>
                <w:szCs w:val="22"/>
              </w:rPr>
            </w:pPr>
          </w:p>
        </w:tc>
        <w:tc>
          <w:tcPr>
            <w:tcW w:w="3267" w:type="dxa"/>
          </w:tcPr>
          <w:p w14:paraId="7758F7E1" w14:textId="77777777" w:rsidR="006257F8" w:rsidRPr="00DD79A9" w:rsidRDefault="006257F8" w:rsidP="00040474">
            <w:pPr>
              <w:pStyle w:val="Normal-Table"/>
              <w:jc w:val="center"/>
              <w:rPr>
                <w:rFonts w:ascii="Tahoma" w:eastAsia="ArialMT" w:hAnsi="Tahoma" w:cs="Tahoma"/>
                <w:sz w:val="22"/>
                <w:szCs w:val="22"/>
              </w:rPr>
            </w:pPr>
            <w:r w:rsidRPr="00DD79A9">
              <w:rPr>
                <w:rFonts w:ascii="Tahoma" w:eastAsia="ArialMT" w:hAnsi="Tahoma" w:cs="Tahoma"/>
                <w:sz w:val="22"/>
                <w:szCs w:val="22"/>
              </w:rPr>
              <w:t>Občine Žirovnica</w:t>
            </w:r>
          </w:p>
        </w:tc>
        <w:tc>
          <w:tcPr>
            <w:tcW w:w="1132" w:type="dxa"/>
          </w:tcPr>
          <w:p w14:paraId="2B2A6CA6" w14:textId="77777777" w:rsidR="006257F8" w:rsidRPr="00DD79A9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</w:p>
        </w:tc>
      </w:tr>
      <w:tr w:rsidR="006257F8" w:rsidRPr="00DD79A9" w14:paraId="15F23D59" w14:textId="77777777" w:rsidTr="00040474">
        <w:trPr>
          <w:trHeight w:val="284"/>
        </w:trPr>
        <w:tc>
          <w:tcPr>
            <w:tcW w:w="4671" w:type="dxa"/>
          </w:tcPr>
          <w:p w14:paraId="58BBDA26" w14:textId="77777777" w:rsidR="006257F8" w:rsidRPr="00DD79A9" w:rsidRDefault="006257F8" w:rsidP="00040474">
            <w:pPr>
              <w:pStyle w:val="Normal-Table"/>
              <w:jc w:val="center"/>
              <w:rPr>
                <w:rFonts w:ascii="Tahoma" w:eastAsia="ArialMT" w:hAnsi="Tahoma" w:cs="Tahoma"/>
                <w:sz w:val="22"/>
                <w:szCs w:val="22"/>
              </w:rPr>
            </w:pPr>
          </w:p>
        </w:tc>
        <w:tc>
          <w:tcPr>
            <w:tcW w:w="3267" w:type="dxa"/>
          </w:tcPr>
          <w:p w14:paraId="39ACDB2B" w14:textId="77777777" w:rsidR="006257F8" w:rsidRPr="00DD79A9" w:rsidRDefault="006257F8" w:rsidP="00040474">
            <w:pPr>
              <w:pStyle w:val="Normal-Table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D79A9">
              <w:rPr>
                <w:rFonts w:ascii="Tahoma" w:eastAsia="ArialMT" w:hAnsi="Tahoma" w:cs="Tahoma"/>
                <w:sz w:val="22"/>
                <w:szCs w:val="22"/>
              </w:rPr>
              <w:t>Leopold Pogačar l.r.</w:t>
            </w:r>
          </w:p>
        </w:tc>
        <w:tc>
          <w:tcPr>
            <w:tcW w:w="1132" w:type="dxa"/>
          </w:tcPr>
          <w:p w14:paraId="3760C1A9" w14:textId="77777777" w:rsidR="006257F8" w:rsidRPr="00DD79A9" w:rsidRDefault="006257F8" w:rsidP="00040474">
            <w:pPr>
              <w:pStyle w:val="Normal-Table"/>
              <w:rPr>
                <w:rFonts w:ascii="Tahoma" w:eastAsia="ArialMT" w:hAnsi="Tahoma" w:cs="Tahoma"/>
                <w:sz w:val="22"/>
                <w:szCs w:val="22"/>
              </w:rPr>
            </w:pPr>
          </w:p>
        </w:tc>
      </w:tr>
    </w:tbl>
    <w:p w14:paraId="092847B7" w14:textId="77777777" w:rsidR="006257F8" w:rsidRDefault="006257F8" w:rsidP="006257F8">
      <w:pPr>
        <w:rPr>
          <w:rFonts w:ascii="Tahoma" w:hAnsi="Tahoma" w:cs="Tahoma"/>
          <w:sz w:val="22"/>
          <w:szCs w:val="22"/>
        </w:rPr>
      </w:pPr>
    </w:p>
    <w:p w14:paraId="6953FCC9" w14:textId="77777777" w:rsidR="006257F8" w:rsidRDefault="006257F8" w:rsidP="006257F8">
      <w:pPr>
        <w:rPr>
          <w:rFonts w:ascii="Tahoma" w:hAnsi="Tahoma" w:cs="Tahoma"/>
          <w:sz w:val="22"/>
          <w:szCs w:val="22"/>
        </w:rPr>
      </w:pPr>
    </w:p>
    <w:p w14:paraId="5615ABE5" w14:textId="77777777" w:rsidR="006257F8" w:rsidRPr="00DD79A9" w:rsidRDefault="006257F8" w:rsidP="006257F8">
      <w:pPr>
        <w:rPr>
          <w:rFonts w:ascii="Tahoma" w:hAnsi="Tahoma" w:cs="Tahoma"/>
          <w:sz w:val="22"/>
          <w:szCs w:val="22"/>
        </w:rPr>
      </w:pPr>
    </w:p>
    <w:p w14:paraId="18705A38" w14:textId="77777777" w:rsidR="00C25D34" w:rsidRDefault="00C25D34"/>
    <w:sectPr w:rsidR="00C2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97229"/>
    <w:multiLevelType w:val="hybridMultilevel"/>
    <w:tmpl w:val="9A3EC65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77FF"/>
    <w:multiLevelType w:val="hybridMultilevel"/>
    <w:tmpl w:val="6CEC28C0"/>
    <w:lvl w:ilvl="0" w:tplc="56161284">
      <w:numFmt w:val="bullet"/>
      <w:pStyle w:val="Normalalinea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9394CF0"/>
    <w:multiLevelType w:val="hybridMultilevel"/>
    <w:tmpl w:val="844239C0"/>
    <w:lvl w:ilvl="0" w:tplc="0424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9755FB"/>
    <w:multiLevelType w:val="hybridMultilevel"/>
    <w:tmpl w:val="9E52267E"/>
    <w:lvl w:ilvl="0" w:tplc="D7B61402">
      <w:start w:val="1"/>
      <w:numFmt w:val="decimal"/>
      <w:pStyle w:val="ODSTAVEK"/>
      <w:lvlText w:val="%1)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56E02"/>
    <w:multiLevelType w:val="hybridMultilevel"/>
    <w:tmpl w:val="84FAC932"/>
    <w:lvl w:ilvl="0" w:tplc="D8C45EB4">
      <w:start w:val="1"/>
      <w:numFmt w:val="decimal"/>
      <w:pStyle w:val="Naslov3"/>
      <w:lvlText w:val="%1."/>
      <w:lvlJc w:val="center"/>
      <w:pPr>
        <w:ind w:left="43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3"/>
    <w:lvlOverride w:ilvl="0">
      <w:startOverride w:val="6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F8"/>
    <w:rsid w:val="001139B7"/>
    <w:rsid w:val="001E7830"/>
    <w:rsid w:val="00203820"/>
    <w:rsid w:val="003319E5"/>
    <w:rsid w:val="003F5384"/>
    <w:rsid w:val="005723F4"/>
    <w:rsid w:val="006257F8"/>
    <w:rsid w:val="00825384"/>
    <w:rsid w:val="00A4566E"/>
    <w:rsid w:val="00A72AC7"/>
    <w:rsid w:val="00AA5D7A"/>
    <w:rsid w:val="00C25D34"/>
    <w:rsid w:val="00E320F2"/>
    <w:rsid w:val="00E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ED89"/>
  <w15:docId w15:val="{ABD83E5F-75DF-4C9F-AEBB-BA800562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57F8"/>
    <w:pPr>
      <w:spacing w:after="120" w:line="288" w:lineRule="auto"/>
      <w:jc w:val="both"/>
    </w:pPr>
    <w:rPr>
      <w:rFonts w:ascii="Arial" w:eastAsia="Times New Roman" w:hAnsi="Arial" w:cs="Times New Roman"/>
      <w:sz w:val="20"/>
      <w:szCs w:val="24"/>
      <w:lang w:eastAsia="sl-SI"/>
    </w:rPr>
  </w:style>
  <w:style w:type="paragraph" w:styleId="Naslov1">
    <w:name w:val="heading 1"/>
    <w:basedOn w:val="Navaden"/>
    <w:next w:val="Naslov2"/>
    <w:link w:val="Naslov1Znak"/>
    <w:uiPriority w:val="9"/>
    <w:qFormat/>
    <w:rsid w:val="006257F8"/>
    <w:pPr>
      <w:keepNext/>
      <w:jc w:val="center"/>
      <w:outlineLvl w:val="0"/>
    </w:pPr>
    <w:rPr>
      <w:rFonts w:cs="Arial"/>
      <w:b/>
      <w:bCs/>
      <w:kern w:val="32"/>
      <w:sz w:val="24"/>
      <w:szCs w:val="28"/>
    </w:rPr>
  </w:style>
  <w:style w:type="paragraph" w:styleId="Naslov2">
    <w:name w:val="heading 2"/>
    <w:basedOn w:val="Navaden"/>
    <w:next w:val="Naslov3"/>
    <w:link w:val="Naslov2Znak"/>
    <w:uiPriority w:val="9"/>
    <w:qFormat/>
    <w:rsid w:val="006257F8"/>
    <w:pPr>
      <w:keepNext/>
      <w:spacing w:before="240"/>
      <w:outlineLvl w:val="1"/>
    </w:pPr>
    <w:rPr>
      <w:rFonts w:cs="Arial"/>
      <w:b/>
      <w:bCs/>
      <w:iCs/>
      <w:sz w:val="24"/>
      <w:szCs w:val="22"/>
    </w:rPr>
  </w:style>
  <w:style w:type="paragraph" w:styleId="Naslov3">
    <w:name w:val="heading 3"/>
    <w:basedOn w:val="Navaden"/>
    <w:next w:val="Naslov4"/>
    <w:link w:val="Naslov3Znak"/>
    <w:uiPriority w:val="9"/>
    <w:qFormat/>
    <w:rsid w:val="006257F8"/>
    <w:pPr>
      <w:keepNext/>
      <w:numPr>
        <w:numId w:val="2"/>
      </w:numPr>
      <w:spacing w:before="120"/>
      <w:ind w:left="170" w:hanging="170"/>
      <w:jc w:val="center"/>
      <w:outlineLvl w:val="2"/>
    </w:pPr>
    <w:rPr>
      <w:rFonts w:cs="Arial"/>
      <w:b/>
      <w:bCs/>
      <w:szCs w:val="20"/>
    </w:rPr>
  </w:style>
  <w:style w:type="paragraph" w:styleId="Naslov4">
    <w:name w:val="heading 4"/>
    <w:basedOn w:val="Navaden"/>
    <w:next w:val="Naslov5"/>
    <w:link w:val="Naslov4Znak"/>
    <w:uiPriority w:val="9"/>
    <w:qFormat/>
    <w:rsid w:val="006257F8"/>
    <w:pPr>
      <w:keepNext/>
      <w:jc w:val="center"/>
      <w:outlineLvl w:val="3"/>
    </w:pPr>
    <w:rPr>
      <w:bCs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257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57F8"/>
    <w:rPr>
      <w:rFonts w:ascii="Arial" w:eastAsia="Times New Roman" w:hAnsi="Arial" w:cs="Arial"/>
      <w:b/>
      <w:bCs/>
      <w:kern w:val="32"/>
      <w:sz w:val="24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6257F8"/>
    <w:rPr>
      <w:rFonts w:ascii="Arial" w:eastAsia="Times New Roman" w:hAnsi="Arial" w:cs="Arial"/>
      <w:b/>
      <w:bCs/>
      <w:iCs/>
      <w:sz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257F8"/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6257F8"/>
    <w:rPr>
      <w:rFonts w:ascii="Arial" w:eastAsia="Times New Roman" w:hAnsi="Arial" w:cs="Times New Roman"/>
      <w:bCs/>
      <w:sz w:val="20"/>
      <w:szCs w:val="28"/>
      <w:lang w:eastAsia="sl-SI"/>
    </w:rPr>
  </w:style>
  <w:style w:type="table" w:styleId="Tabelamrea">
    <w:name w:val="Table Grid"/>
    <w:basedOn w:val="Navadnatabela"/>
    <w:rsid w:val="006257F8"/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Table">
    <w:name w:val="Normal - Table"/>
    <w:basedOn w:val="Navaden"/>
    <w:qFormat/>
    <w:rsid w:val="006257F8"/>
    <w:pPr>
      <w:spacing w:after="0" w:line="240" w:lineRule="auto"/>
      <w:jc w:val="left"/>
    </w:pPr>
    <w:rPr>
      <w:sz w:val="18"/>
    </w:rPr>
  </w:style>
  <w:style w:type="paragraph" w:customStyle="1" w:styleId="Normalalinea">
    <w:name w:val="Normal + alinea"/>
    <w:basedOn w:val="Navaden"/>
    <w:rsid w:val="006257F8"/>
    <w:pPr>
      <w:numPr>
        <w:numId w:val="1"/>
      </w:numPr>
      <w:ind w:left="641" w:hanging="357"/>
    </w:pPr>
    <w:rPr>
      <w:szCs w:val="22"/>
      <w:lang w:eastAsia="zh-CN"/>
    </w:rPr>
  </w:style>
  <w:style w:type="paragraph" w:customStyle="1" w:styleId="ODSTAVEK">
    <w:name w:val="ODSTAVEK"/>
    <w:basedOn w:val="Navaden"/>
    <w:qFormat/>
    <w:rsid w:val="006257F8"/>
    <w:pPr>
      <w:numPr>
        <w:numId w:val="3"/>
      </w:numPr>
      <w:tabs>
        <w:tab w:val="left" w:pos="397"/>
      </w:tabs>
      <w:ind w:left="0" w:firstLine="0"/>
    </w:pPr>
    <w:rPr>
      <w:rFonts w:eastAsia="ArialMT"/>
    </w:rPr>
  </w:style>
  <w:style w:type="paragraph" w:customStyle="1" w:styleId="StyleHeading3Tahoma11pt">
    <w:name w:val="Style Heading 3 + Tahoma 11 pt"/>
    <w:basedOn w:val="Naslov3"/>
    <w:rsid w:val="006257F8"/>
    <w:rPr>
      <w:rFonts w:ascii="Tahoma" w:hAnsi="Tahoma"/>
      <w:b w:val="0"/>
      <w:sz w:val="22"/>
    </w:rPr>
  </w:style>
  <w:style w:type="paragraph" w:customStyle="1" w:styleId="StyleHeading4Tahoma11pt">
    <w:name w:val="Style Heading 4 + Tahoma 11 pt"/>
    <w:basedOn w:val="Naslov4"/>
    <w:rsid w:val="006257F8"/>
    <w:rPr>
      <w:rFonts w:ascii="Tahoma" w:hAnsi="Tahoma"/>
      <w:b/>
      <w:bCs w:val="0"/>
      <w:sz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257F8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Občina Žirovnica</cp:lastModifiedBy>
  <cp:revision>3</cp:revision>
  <dcterms:created xsi:type="dcterms:W3CDTF">2021-11-12T10:23:00Z</dcterms:created>
  <dcterms:modified xsi:type="dcterms:W3CDTF">2021-11-12T12:00:00Z</dcterms:modified>
</cp:coreProperties>
</file>