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EDF0" w14:textId="2480AC64"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7"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8"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9"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1"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popr.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 xml:space="preserve">bčine Žirovnica (Ur. list RS, št. </w:t>
      </w:r>
      <w:r w:rsidR="003F2887">
        <w:rPr>
          <w:rFonts w:ascii="Tahoma" w:hAnsi="Tahoma" w:cs="Tahoma"/>
          <w:sz w:val="20"/>
          <w:szCs w:val="20"/>
          <w:lang w:eastAsia="sl-SI"/>
        </w:rPr>
        <w:t>66/18-UPB2)</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D779E2">
        <w:rPr>
          <w:rFonts w:ascii="Tahoma" w:hAnsi="Tahoma" w:cs="Tahoma"/>
          <w:sz w:val="20"/>
          <w:szCs w:val="20"/>
          <w:lang w:eastAsia="sl-SI"/>
        </w:rPr>
        <w:t>______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D779E2">
        <w:rPr>
          <w:rFonts w:ascii="Tahoma" w:hAnsi="Tahoma" w:cs="Tahoma"/>
          <w:sz w:val="20"/>
          <w:szCs w:val="20"/>
          <w:lang w:eastAsia="sl-SI"/>
        </w:rPr>
        <w:t>______________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14:paraId="05221CC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08B5E8AA"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5AB7F59" w14:textId="77777777"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14:paraId="5F415F0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14:paraId="69E6BC38" w14:textId="64C15180"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D779E2">
        <w:rPr>
          <w:rFonts w:ascii="Tahoma" w:hAnsi="Tahoma" w:cs="Tahoma"/>
          <w:b/>
          <w:sz w:val="20"/>
        </w:rPr>
        <w:t>2022</w:t>
      </w:r>
    </w:p>
    <w:p w14:paraId="53CFB125" w14:textId="77777777"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14:paraId="61CBBB7F" w14:textId="77777777"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14:paraId="5FE4D5EB" w14:textId="77777777"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14:paraId="68EF8FF4" w14:textId="77777777"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14:paraId="49727FF2" w14:textId="77777777"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14:paraId="48A34DDE" w14:textId="77777777"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14:paraId="3BEF072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BF24446" w14:textId="7D793A22"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D779E2">
        <w:rPr>
          <w:rFonts w:ascii="Tahoma" w:hAnsi="Tahoma" w:cs="Tahoma"/>
          <w:sz w:val="20"/>
        </w:rPr>
        <w:t>2022</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14:paraId="78321AD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53D0CD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2226076"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14:paraId="7BDB45DC" w14:textId="77777777"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14:paraId="26141591" w14:textId="77777777"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14:paraId="6B8C23D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14:paraId="7A47792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2FF6778" w14:textId="682333E7"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D779E2">
        <w:rPr>
          <w:rFonts w:ascii="Tahoma" w:hAnsi="Tahoma" w:cs="Tahoma"/>
          <w:sz w:val="20"/>
          <w:szCs w:val="20"/>
          <w:lang w:eastAsia="sl-SI"/>
        </w:rPr>
        <w:t>2022</w:t>
      </w:r>
      <w:r w:rsidRPr="00C37DCC">
        <w:rPr>
          <w:rFonts w:ascii="Tahoma" w:hAnsi="Tahoma" w:cs="Tahoma"/>
          <w:sz w:val="20"/>
          <w:szCs w:val="20"/>
          <w:lang w:eastAsia="sl-SI"/>
        </w:rPr>
        <w:t xml:space="preserve"> sestavljajo:</w:t>
      </w:r>
    </w:p>
    <w:p w14:paraId="3B313724"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14:paraId="6A1D4408"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14:paraId="7FC7CC95" w14:textId="77777777"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14:paraId="2F005CA0" w14:textId="77777777"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14:paraId="3BEE409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14:paraId="3E2FB75E"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79A6FEF" w14:textId="7777777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14:paraId="0AC4F50D"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14:paraId="2D360D0E" w14:textId="77777777" w:rsidTr="00BE149F">
        <w:trPr>
          <w:trHeight w:val="255"/>
        </w:trPr>
        <w:tc>
          <w:tcPr>
            <w:tcW w:w="919" w:type="dxa"/>
            <w:tcBorders>
              <w:top w:val="nil"/>
              <w:left w:val="nil"/>
              <w:bottom w:val="nil"/>
              <w:right w:val="nil"/>
            </w:tcBorders>
            <w:shd w:val="clear" w:color="auto" w:fill="auto"/>
            <w:noWrap/>
            <w:vAlign w:val="bottom"/>
          </w:tcPr>
          <w:p w14:paraId="40F9A34D" w14:textId="77777777"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14:paraId="43FAA7ED" w14:textId="77777777"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14:paraId="0208F89B" w14:textId="77777777" w:rsidR="009D166E" w:rsidRPr="00094117" w:rsidRDefault="009D166E" w:rsidP="008B3FD8">
            <w:pPr>
              <w:jc w:val="left"/>
              <w:rPr>
                <w:rFonts w:ascii="Tahoma" w:hAnsi="Tahoma" w:cs="Tahoma"/>
                <w:b/>
                <w:sz w:val="20"/>
                <w:szCs w:val="20"/>
                <w:lang w:eastAsia="sl-SI"/>
              </w:rPr>
            </w:pPr>
          </w:p>
        </w:tc>
      </w:tr>
      <w:tr w:rsidR="00D44AC3" w:rsidRPr="00D44AC3" w14:paraId="60C83C7D" w14:textId="77777777" w:rsidTr="00BE149F">
        <w:trPr>
          <w:trHeight w:val="270"/>
        </w:trPr>
        <w:tc>
          <w:tcPr>
            <w:tcW w:w="7675" w:type="dxa"/>
            <w:gridSpan w:val="3"/>
            <w:tcBorders>
              <w:top w:val="nil"/>
              <w:left w:val="nil"/>
              <w:bottom w:val="nil"/>
              <w:right w:val="nil"/>
            </w:tcBorders>
            <w:shd w:val="clear" w:color="auto" w:fill="auto"/>
            <w:vAlign w:val="bottom"/>
          </w:tcPr>
          <w:p w14:paraId="0D9F9527"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14:paraId="3E29B317" w14:textId="7BAD2DC5" w:rsidR="009D166E" w:rsidRPr="00094117" w:rsidRDefault="00B633EF" w:rsidP="002F018F">
            <w:pPr>
              <w:jc w:val="right"/>
              <w:outlineLvl w:val="0"/>
              <w:rPr>
                <w:rFonts w:ascii="Tahoma" w:hAnsi="Tahoma" w:cs="Tahoma"/>
                <w:sz w:val="20"/>
                <w:szCs w:val="20"/>
                <w:u w:val="single"/>
                <w:lang w:eastAsia="sl-SI"/>
              </w:rPr>
            </w:pPr>
            <w:r>
              <w:rPr>
                <w:rFonts w:ascii="Tahoma" w:hAnsi="Tahoma" w:cs="Tahoma"/>
                <w:sz w:val="20"/>
                <w:szCs w:val="20"/>
                <w:u w:val="single"/>
                <w:lang w:eastAsia="sl-SI"/>
              </w:rPr>
              <w:t>4.230.394</w:t>
            </w:r>
          </w:p>
        </w:tc>
      </w:tr>
      <w:tr w:rsidR="00D44AC3" w:rsidRPr="00D44AC3" w14:paraId="14402F75" w14:textId="77777777" w:rsidTr="00BE149F">
        <w:trPr>
          <w:trHeight w:val="270"/>
        </w:trPr>
        <w:tc>
          <w:tcPr>
            <w:tcW w:w="983" w:type="dxa"/>
            <w:gridSpan w:val="2"/>
            <w:tcBorders>
              <w:top w:val="nil"/>
              <w:left w:val="nil"/>
              <w:bottom w:val="nil"/>
              <w:right w:val="nil"/>
            </w:tcBorders>
            <w:shd w:val="clear" w:color="auto" w:fill="auto"/>
            <w:vAlign w:val="bottom"/>
          </w:tcPr>
          <w:p w14:paraId="7CC57E05" w14:textId="77777777"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14:paraId="3F807443" w14:textId="77777777"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14:paraId="3DF8FE4A" w14:textId="3B02C8FF" w:rsidR="009D166E" w:rsidRPr="00094117" w:rsidRDefault="00B633EF" w:rsidP="002F018F">
            <w:pPr>
              <w:jc w:val="right"/>
              <w:outlineLvl w:val="1"/>
              <w:rPr>
                <w:rFonts w:ascii="Tahoma" w:hAnsi="Tahoma" w:cs="Tahoma"/>
                <w:sz w:val="20"/>
                <w:szCs w:val="20"/>
                <w:u w:val="single"/>
                <w:lang w:eastAsia="sl-SI"/>
              </w:rPr>
            </w:pPr>
            <w:r>
              <w:rPr>
                <w:rFonts w:ascii="Tahoma" w:hAnsi="Tahoma" w:cs="Tahoma"/>
                <w:sz w:val="20"/>
                <w:szCs w:val="20"/>
                <w:u w:val="single"/>
                <w:lang w:eastAsia="sl-SI"/>
              </w:rPr>
              <w:t>4.030.161</w:t>
            </w:r>
          </w:p>
        </w:tc>
      </w:tr>
      <w:tr w:rsidR="00D44AC3" w:rsidRPr="00D44AC3" w14:paraId="0773CFF2" w14:textId="77777777" w:rsidTr="00BE149F">
        <w:trPr>
          <w:trHeight w:val="255"/>
        </w:trPr>
        <w:tc>
          <w:tcPr>
            <w:tcW w:w="919" w:type="dxa"/>
            <w:tcBorders>
              <w:top w:val="nil"/>
              <w:left w:val="nil"/>
              <w:bottom w:val="nil"/>
              <w:right w:val="nil"/>
            </w:tcBorders>
            <w:shd w:val="clear" w:color="auto" w:fill="auto"/>
            <w:noWrap/>
            <w:vAlign w:val="bottom"/>
          </w:tcPr>
          <w:p w14:paraId="7D69556C"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14:paraId="4CFEF9BC"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14:paraId="6CBF718B" w14:textId="450DB49F" w:rsidR="009D166E" w:rsidRPr="00094117" w:rsidRDefault="00B633EF"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3.218.871</w:t>
            </w:r>
          </w:p>
        </w:tc>
      </w:tr>
      <w:tr w:rsidR="00094117" w:rsidRPr="00094117" w14:paraId="114FE04B" w14:textId="77777777" w:rsidTr="00BE149F">
        <w:trPr>
          <w:trHeight w:val="255"/>
        </w:trPr>
        <w:tc>
          <w:tcPr>
            <w:tcW w:w="919" w:type="dxa"/>
            <w:tcBorders>
              <w:top w:val="nil"/>
              <w:left w:val="nil"/>
              <w:bottom w:val="nil"/>
              <w:right w:val="nil"/>
            </w:tcBorders>
            <w:shd w:val="clear" w:color="auto" w:fill="auto"/>
            <w:noWrap/>
            <w:vAlign w:val="bottom"/>
          </w:tcPr>
          <w:p w14:paraId="00FD2081"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14:paraId="09D4A113"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14:paraId="3D340FD3" w14:textId="134AA180" w:rsidR="009D166E" w:rsidRPr="00094117" w:rsidRDefault="00B633EF" w:rsidP="002F018F">
            <w:pPr>
              <w:jc w:val="right"/>
              <w:outlineLvl w:val="3"/>
              <w:rPr>
                <w:rFonts w:ascii="Tahoma" w:hAnsi="Tahoma" w:cs="Tahoma"/>
                <w:sz w:val="18"/>
                <w:szCs w:val="18"/>
                <w:lang w:eastAsia="sl-SI"/>
              </w:rPr>
            </w:pPr>
            <w:r>
              <w:rPr>
                <w:rFonts w:ascii="Tahoma" w:hAnsi="Tahoma" w:cs="Tahoma"/>
                <w:sz w:val="18"/>
                <w:szCs w:val="18"/>
                <w:lang w:eastAsia="sl-SI"/>
              </w:rPr>
              <w:t>2.765.383</w:t>
            </w:r>
          </w:p>
        </w:tc>
      </w:tr>
      <w:tr w:rsidR="00094117" w:rsidRPr="00094117" w14:paraId="487F54CC" w14:textId="77777777" w:rsidTr="00BE149F">
        <w:trPr>
          <w:trHeight w:val="255"/>
        </w:trPr>
        <w:tc>
          <w:tcPr>
            <w:tcW w:w="919" w:type="dxa"/>
            <w:tcBorders>
              <w:top w:val="nil"/>
              <w:left w:val="nil"/>
              <w:bottom w:val="nil"/>
              <w:right w:val="nil"/>
            </w:tcBorders>
            <w:shd w:val="clear" w:color="auto" w:fill="auto"/>
            <w:noWrap/>
            <w:vAlign w:val="bottom"/>
          </w:tcPr>
          <w:p w14:paraId="405C55BE"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14:paraId="31523237"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14:paraId="395D39CE" w14:textId="7AB04295" w:rsidR="009D166E" w:rsidRPr="00094117" w:rsidRDefault="00B633EF" w:rsidP="008372DA">
            <w:pPr>
              <w:jc w:val="right"/>
              <w:outlineLvl w:val="3"/>
              <w:rPr>
                <w:rFonts w:ascii="Tahoma" w:hAnsi="Tahoma" w:cs="Tahoma"/>
                <w:sz w:val="18"/>
                <w:szCs w:val="18"/>
                <w:lang w:eastAsia="sl-SI"/>
              </w:rPr>
            </w:pPr>
            <w:r>
              <w:rPr>
                <w:rFonts w:ascii="Tahoma" w:hAnsi="Tahoma" w:cs="Tahoma"/>
                <w:sz w:val="18"/>
                <w:szCs w:val="18"/>
                <w:lang w:eastAsia="sl-SI"/>
              </w:rPr>
              <w:t>410.704</w:t>
            </w:r>
          </w:p>
        </w:tc>
      </w:tr>
      <w:tr w:rsidR="00094117" w:rsidRPr="00094117" w14:paraId="4106256E" w14:textId="77777777" w:rsidTr="00BE149F">
        <w:trPr>
          <w:trHeight w:val="255"/>
        </w:trPr>
        <w:tc>
          <w:tcPr>
            <w:tcW w:w="919" w:type="dxa"/>
            <w:tcBorders>
              <w:top w:val="nil"/>
              <w:left w:val="nil"/>
              <w:bottom w:val="nil"/>
              <w:right w:val="nil"/>
            </w:tcBorders>
            <w:shd w:val="clear" w:color="auto" w:fill="auto"/>
            <w:noWrap/>
            <w:vAlign w:val="bottom"/>
          </w:tcPr>
          <w:p w14:paraId="57E50274"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14:paraId="079C0F0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14:paraId="08F884AA" w14:textId="002237DF"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42.784</w:t>
            </w:r>
          </w:p>
        </w:tc>
      </w:tr>
      <w:tr w:rsidR="00D44AC3" w:rsidRPr="00D44AC3" w14:paraId="0663B15A" w14:textId="77777777" w:rsidTr="00BE149F">
        <w:trPr>
          <w:trHeight w:val="255"/>
        </w:trPr>
        <w:tc>
          <w:tcPr>
            <w:tcW w:w="919" w:type="dxa"/>
            <w:tcBorders>
              <w:top w:val="nil"/>
              <w:left w:val="nil"/>
              <w:bottom w:val="nil"/>
              <w:right w:val="nil"/>
            </w:tcBorders>
            <w:shd w:val="clear" w:color="auto" w:fill="auto"/>
            <w:noWrap/>
            <w:vAlign w:val="bottom"/>
          </w:tcPr>
          <w:p w14:paraId="23D6C53A"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14:paraId="01591ADD"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14:paraId="52684D20" w14:textId="22BEB5A2" w:rsidR="009D166E" w:rsidRPr="00094117" w:rsidRDefault="00B633EF"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811.290</w:t>
            </w:r>
          </w:p>
        </w:tc>
      </w:tr>
      <w:tr w:rsidR="00D44AC3" w:rsidRPr="00D44AC3" w14:paraId="1DBA7EDD" w14:textId="77777777" w:rsidTr="00BE149F">
        <w:trPr>
          <w:trHeight w:val="255"/>
        </w:trPr>
        <w:tc>
          <w:tcPr>
            <w:tcW w:w="919" w:type="dxa"/>
            <w:tcBorders>
              <w:top w:val="nil"/>
              <w:left w:val="nil"/>
              <w:bottom w:val="nil"/>
              <w:right w:val="nil"/>
            </w:tcBorders>
            <w:shd w:val="clear" w:color="auto" w:fill="auto"/>
            <w:noWrap/>
            <w:vAlign w:val="bottom"/>
          </w:tcPr>
          <w:p w14:paraId="399777C7"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14:paraId="02DADBF9"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14:paraId="2135884C" w14:textId="012D780F"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412.052</w:t>
            </w:r>
          </w:p>
        </w:tc>
      </w:tr>
      <w:tr w:rsidR="00D44AC3" w:rsidRPr="00D44AC3" w14:paraId="4D1991CD" w14:textId="77777777" w:rsidTr="00BE149F">
        <w:trPr>
          <w:trHeight w:val="255"/>
        </w:trPr>
        <w:tc>
          <w:tcPr>
            <w:tcW w:w="919" w:type="dxa"/>
            <w:tcBorders>
              <w:top w:val="nil"/>
              <w:left w:val="nil"/>
              <w:bottom w:val="nil"/>
              <w:right w:val="nil"/>
            </w:tcBorders>
            <w:shd w:val="clear" w:color="auto" w:fill="auto"/>
            <w:noWrap/>
            <w:vAlign w:val="bottom"/>
          </w:tcPr>
          <w:p w14:paraId="16A1B80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14:paraId="551ECDC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14:paraId="19C8F2DC" w14:textId="5116B3F4"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6.800</w:t>
            </w:r>
          </w:p>
        </w:tc>
      </w:tr>
      <w:tr w:rsidR="00D44AC3" w:rsidRPr="00D44AC3" w14:paraId="0EEAEF43" w14:textId="77777777" w:rsidTr="00BE149F">
        <w:trPr>
          <w:trHeight w:val="255"/>
        </w:trPr>
        <w:tc>
          <w:tcPr>
            <w:tcW w:w="919" w:type="dxa"/>
            <w:tcBorders>
              <w:top w:val="nil"/>
              <w:left w:val="nil"/>
              <w:bottom w:val="nil"/>
              <w:right w:val="nil"/>
            </w:tcBorders>
            <w:shd w:val="clear" w:color="auto" w:fill="auto"/>
            <w:noWrap/>
            <w:vAlign w:val="bottom"/>
          </w:tcPr>
          <w:p w14:paraId="68FB41EF"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14:paraId="0A1D4D3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14:paraId="2127CCDD" w14:textId="7000455F" w:rsidR="009D166E" w:rsidRPr="00094117" w:rsidRDefault="00B633EF" w:rsidP="008372DA">
            <w:pPr>
              <w:jc w:val="right"/>
              <w:outlineLvl w:val="3"/>
              <w:rPr>
                <w:rFonts w:ascii="Tahoma" w:hAnsi="Tahoma" w:cs="Tahoma"/>
                <w:sz w:val="18"/>
                <w:szCs w:val="18"/>
                <w:lang w:eastAsia="sl-SI"/>
              </w:rPr>
            </w:pPr>
            <w:r>
              <w:rPr>
                <w:rFonts w:ascii="Tahoma" w:hAnsi="Tahoma" w:cs="Tahoma"/>
                <w:sz w:val="18"/>
                <w:szCs w:val="18"/>
                <w:lang w:eastAsia="sl-SI"/>
              </w:rPr>
              <w:t>25.200</w:t>
            </w:r>
          </w:p>
        </w:tc>
      </w:tr>
      <w:tr w:rsidR="00B633EF" w:rsidRPr="00D44AC3" w14:paraId="0410DDCB" w14:textId="77777777" w:rsidTr="00BE149F">
        <w:trPr>
          <w:trHeight w:val="255"/>
        </w:trPr>
        <w:tc>
          <w:tcPr>
            <w:tcW w:w="919" w:type="dxa"/>
            <w:tcBorders>
              <w:top w:val="nil"/>
              <w:left w:val="nil"/>
              <w:bottom w:val="nil"/>
              <w:right w:val="nil"/>
            </w:tcBorders>
            <w:shd w:val="clear" w:color="auto" w:fill="auto"/>
            <w:noWrap/>
            <w:vAlign w:val="bottom"/>
          </w:tcPr>
          <w:p w14:paraId="3315B392" w14:textId="536594E8" w:rsidR="00B633EF" w:rsidRPr="00D44AC3"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713</w:t>
            </w:r>
          </w:p>
        </w:tc>
        <w:tc>
          <w:tcPr>
            <w:tcW w:w="6756" w:type="dxa"/>
            <w:gridSpan w:val="2"/>
            <w:tcBorders>
              <w:top w:val="nil"/>
              <w:left w:val="nil"/>
              <w:bottom w:val="nil"/>
              <w:right w:val="nil"/>
            </w:tcBorders>
            <w:shd w:val="clear" w:color="auto" w:fill="auto"/>
            <w:vAlign w:val="bottom"/>
          </w:tcPr>
          <w:p w14:paraId="6296ABC6" w14:textId="2832ABF2" w:rsidR="00B633EF" w:rsidRPr="00D44AC3" w:rsidRDefault="00B633EF" w:rsidP="008B3FD8">
            <w:pPr>
              <w:jc w:val="left"/>
              <w:outlineLvl w:val="3"/>
              <w:rPr>
                <w:rFonts w:ascii="Tahoma" w:hAnsi="Tahoma" w:cs="Tahoma"/>
                <w:sz w:val="18"/>
                <w:szCs w:val="18"/>
                <w:lang w:eastAsia="sl-SI"/>
              </w:rPr>
            </w:pPr>
            <w:r>
              <w:rPr>
                <w:rFonts w:ascii="Tahoma" w:hAnsi="Tahoma" w:cs="Tahoma"/>
                <w:sz w:val="18"/>
                <w:szCs w:val="18"/>
                <w:lang w:eastAsia="sl-SI"/>
              </w:rPr>
              <w:t>Prihodki od prodaje blaga in storitev</w:t>
            </w:r>
          </w:p>
        </w:tc>
        <w:tc>
          <w:tcPr>
            <w:tcW w:w="1145" w:type="dxa"/>
            <w:tcBorders>
              <w:top w:val="nil"/>
              <w:left w:val="nil"/>
              <w:bottom w:val="nil"/>
              <w:right w:val="nil"/>
            </w:tcBorders>
            <w:shd w:val="clear" w:color="auto" w:fill="auto"/>
            <w:noWrap/>
            <w:vAlign w:val="bottom"/>
          </w:tcPr>
          <w:p w14:paraId="4948AC90" w14:textId="74C47B6B" w:rsidR="00B633EF"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15.000</w:t>
            </w:r>
          </w:p>
        </w:tc>
      </w:tr>
      <w:tr w:rsidR="00D44AC3" w:rsidRPr="00D44AC3" w14:paraId="3A3AB347" w14:textId="77777777" w:rsidTr="00BE149F">
        <w:trPr>
          <w:trHeight w:val="255"/>
        </w:trPr>
        <w:tc>
          <w:tcPr>
            <w:tcW w:w="919" w:type="dxa"/>
            <w:tcBorders>
              <w:top w:val="nil"/>
              <w:left w:val="nil"/>
              <w:bottom w:val="nil"/>
              <w:right w:val="nil"/>
            </w:tcBorders>
            <w:shd w:val="clear" w:color="auto" w:fill="auto"/>
            <w:noWrap/>
            <w:vAlign w:val="bottom"/>
          </w:tcPr>
          <w:p w14:paraId="65E9A0E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14:paraId="4ECF77CB"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14:paraId="08337C78" w14:textId="7DF1474E"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352.238</w:t>
            </w:r>
          </w:p>
        </w:tc>
      </w:tr>
      <w:tr w:rsidR="00094117" w:rsidRPr="00094117" w14:paraId="3576A7E4" w14:textId="77777777" w:rsidTr="00BE149F">
        <w:trPr>
          <w:trHeight w:val="255"/>
        </w:trPr>
        <w:tc>
          <w:tcPr>
            <w:tcW w:w="919" w:type="dxa"/>
            <w:tcBorders>
              <w:top w:val="nil"/>
              <w:left w:val="nil"/>
              <w:bottom w:val="nil"/>
              <w:right w:val="nil"/>
            </w:tcBorders>
            <w:shd w:val="clear" w:color="auto" w:fill="auto"/>
            <w:noWrap/>
            <w:vAlign w:val="bottom"/>
          </w:tcPr>
          <w:p w14:paraId="78FC80A8"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14:paraId="09E0B362"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14:paraId="0C4E5DF1" w14:textId="6FED8609" w:rsidR="009D166E" w:rsidRPr="00094117" w:rsidRDefault="00B633E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16.000</w:t>
            </w:r>
          </w:p>
        </w:tc>
      </w:tr>
      <w:tr w:rsidR="00094117" w:rsidRPr="00094117" w14:paraId="34BC82AE" w14:textId="77777777" w:rsidTr="00BE149F">
        <w:trPr>
          <w:trHeight w:val="255"/>
        </w:trPr>
        <w:tc>
          <w:tcPr>
            <w:tcW w:w="919" w:type="dxa"/>
            <w:tcBorders>
              <w:top w:val="nil"/>
              <w:left w:val="nil"/>
              <w:bottom w:val="nil"/>
              <w:right w:val="nil"/>
            </w:tcBorders>
            <w:shd w:val="clear" w:color="auto" w:fill="auto"/>
            <w:noWrap/>
            <w:vAlign w:val="bottom"/>
          </w:tcPr>
          <w:p w14:paraId="2413984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14:paraId="1EC62D25"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14:paraId="33BEAB40" w14:textId="10E610E5"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16.000</w:t>
            </w:r>
          </w:p>
        </w:tc>
      </w:tr>
      <w:tr w:rsidR="00D44AC3" w:rsidRPr="00D44AC3" w14:paraId="20289B6D" w14:textId="77777777" w:rsidTr="00BE149F">
        <w:trPr>
          <w:trHeight w:val="255"/>
        </w:trPr>
        <w:tc>
          <w:tcPr>
            <w:tcW w:w="919" w:type="dxa"/>
            <w:tcBorders>
              <w:top w:val="nil"/>
              <w:left w:val="nil"/>
              <w:bottom w:val="nil"/>
              <w:right w:val="nil"/>
            </w:tcBorders>
            <w:shd w:val="clear" w:color="auto" w:fill="auto"/>
            <w:noWrap/>
            <w:vAlign w:val="bottom"/>
          </w:tcPr>
          <w:p w14:paraId="3EEE0B2D"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14:paraId="4D2F9F81"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14:paraId="3706EFC1" w14:textId="33BE2C5D" w:rsidR="009D166E" w:rsidRPr="00094117" w:rsidRDefault="00B633E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184.233</w:t>
            </w:r>
          </w:p>
        </w:tc>
      </w:tr>
      <w:tr w:rsidR="00D44AC3" w:rsidRPr="00D44AC3" w14:paraId="0A3F1D15" w14:textId="77777777" w:rsidTr="00BE149F">
        <w:trPr>
          <w:trHeight w:val="255"/>
        </w:trPr>
        <w:tc>
          <w:tcPr>
            <w:tcW w:w="919" w:type="dxa"/>
            <w:tcBorders>
              <w:top w:val="nil"/>
              <w:left w:val="nil"/>
              <w:bottom w:val="nil"/>
              <w:right w:val="nil"/>
            </w:tcBorders>
            <w:shd w:val="clear" w:color="auto" w:fill="auto"/>
            <w:noWrap/>
            <w:vAlign w:val="bottom"/>
          </w:tcPr>
          <w:p w14:paraId="50DF760B"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14:paraId="27C06ED8"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14:paraId="1C692F0F" w14:textId="39A13109"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184.233</w:t>
            </w:r>
          </w:p>
        </w:tc>
      </w:tr>
    </w:tbl>
    <w:p w14:paraId="324B5ECF" w14:textId="77777777"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14:paraId="456E7535" w14:textId="77777777" w:rsidTr="008B3FD8">
        <w:trPr>
          <w:trHeight w:val="270"/>
        </w:trPr>
        <w:tc>
          <w:tcPr>
            <w:tcW w:w="7675" w:type="dxa"/>
            <w:gridSpan w:val="2"/>
            <w:tcBorders>
              <w:top w:val="nil"/>
              <w:left w:val="nil"/>
              <w:bottom w:val="nil"/>
              <w:right w:val="nil"/>
            </w:tcBorders>
            <w:shd w:val="clear" w:color="auto" w:fill="auto"/>
            <w:vAlign w:val="bottom"/>
          </w:tcPr>
          <w:p w14:paraId="1080FD2D" w14:textId="77777777"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14:paraId="3F7D4FE2" w14:textId="38FF2613" w:rsidR="009D166E" w:rsidRPr="00094117" w:rsidRDefault="00B633EF" w:rsidP="00836302">
            <w:pPr>
              <w:jc w:val="right"/>
              <w:outlineLvl w:val="0"/>
              <w:rPr>
                <w:rFonts w:ascii="Tahoma" w:hAnsi="Tahoma" w:cs="Tahoma"/>
                <w:sz w:val="20"/>
                <w:szCs w:val="20"/>
                <w:u w:val="single"/>
                <w:lang w:eastAsia="sl-SI"/>
              </w:rPr>
            </w:pPr>
            <w:r>
              <w:rPr>
                <w:rFonts w:ascii="Tahoma" w:hAnsi="Tahoma" w:cs="Tahoma"/>
                <w:sz w:val="20"/>
                <w:szCs w:val="20"/>
                <w:u w:val="single"/>
                <w:lang w:eastAsia="sl-SI"/>
              </w:rPr>
              <w:t>5.167.822</w:t>
            </w:r>
          </w:p>
        </w:tc>
      </w:tr>
      <w:tr w:rsidR="00D44AC3" w:rsidRPr="00D44AC3" w14:paraId="3733D601" w14:textId="77777777" w:rsidTr="008B3FD8">
        <w:trPr>
          <w:trHeight w:val="255"/>
        </w:trPr>
        <w:tc>
          <w:tcPr>
            <w:tcW w:w="919" w:type="dxa"/>
            <w:tcBorders>
              <w:top w:val="nil"/>
              <w:left w:val="nil"/>
              <w:bottom w:val="nil"/>
              <w:right w:val="nil"/>
            </w:tcBorders>
            <w:shd w:val="clear" w:color="auto" w:fill="auto"/>
            <w:noWrap/>
            <w:vAlign w:val="bottom"/>
          </w:tcPr>
          <w:p w14:paraId="39933F81" w14:textId="77777777"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14:paraId="60F81C1E" w14:textId="77777777"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14:paraId="295B8616" w14:textId="40236700" w:rsidR="009D166E" w:rsidRPr="00094117" w:rsidRDefault="00B633EF"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1.385.756</w:t>
            </w:r>
          </w:p>
        </w:tc>
      </w:tr>
      <w:tr w:rsidR="00D44AC3" w:rsidRPr="00D44AC3" w14:paraId="2937584C" w14:textId="77777777" w:rsidTr="008B3FD8">
        <w:trPr>
          <w:trHeight w:val="255"/>
        </w:trPr>
        <w:tc>
          <w:tcPr>
            <w:tcW w:w="919" w:type="dxa"/>
            <w:tcBorders>
              <w:top w:val="nil"/>
              <w:left w:val="nil"/>
              <w:bottom w:val="nil"/>
              <w:right w:val="nil"/>
            </w:tcBorders>
            <w:shd w:val="clear" w:color="auto" w:fill="auto"/>
            <w:noWrap/>
            <w:vAlign w:val="bottom"/>
          </w:tcPr>
          <w:p w14:paraId="5AA5C04D"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14:paraId="23CF1EF2"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14:paraId="5BE2DCA4" w14:textId="077D63D0"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293.700</w:t>
            </w:r>
          </w:p>
        </w:tc>
      </w:tr>
      <w:tr w:rsidR="00D44AC3" w:rsidRPr="00D44AC3" w14:paraId="12F1BD85" w14:textId="77777777" w:rsidTr="008B3FD8">
        <w:trPr>
          <w:trHeight w:val="255"/>
        </w:trPr>
        <w:tc>
          <w:tcPr>
            <w:tcW w:w="919" w:type="dxa"/>
            <w:tcBorders>
              <w:top w:val="nil"/>
              <w:left w:val="nil"/>
              <w:bottom w:val="nil"/>
              <w:right w:val="nil"/>
            </w:tcBorders>
            <w:shd w:val="clear" w:color="auto" w:fill="auto"/>
            <w:noWrap/>
            <w:vAlign w:val="bottom"/>
          </w:tcPr>
          <w:p w14:paraId="4B43117C" w14:textId="77777777"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14:paraId="67028C86" w14:textId="77777777"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14:paraId="67D5DFA5" w14:textId="397E05EF"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46.150</w:t>
            </w:r>
          </w:p>
        </w:tc>
      </w:tr>
      <w:tr w:rsidR="00D44AC3" w:rsidRPr="00750D69" w14:paraId="2B0DD1C0" w14:textId="77777777" w:rsidTr="008B3FD8">
        <w:trPr>
          <w:trHeight w:val="255"/>
        </w:trPr>
        <w:tc>
          <w:tcPr>
            <w:tcW w:w="919" w:type="dxa"/>
            <w:tcBorders>
              <w:top w:val="nil"/>
              <w:left w:val="nil"/>
              <w:bottom w:val="nil"/>
              <w:right w:val="nil"/>
            </w:tcBorders>
            <w:shd w:val="clear" w:color="auto" w:fill="auto"/>
            <w:noWrap/>
            <w:vAlign w:val="bottom"/>
          </w:tcPr>
          <w:p w14:paraId="5F006577"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14:paraId="2D417161"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14:paraId="42A76656" w14:textId="56E929ED" w:rsidR="009D166E" w:rsidRPr="00094117" w:rsidRDefault="00B633EF" w:rsidP="00991294">
            <w:pPr>
              <w:jc w:val="right"/>
              <w:outlineLvl w:val="3"/>
              <w:rPr>
                <w:rFonts w:ascii="Tahoma" w:hAnsi="Tahoma" w:cs="Tahoma"/>
                <w:sz w:val="18"/>
                <w:szCs w:val="18"/>
                <w:lang w:eastAsia="sl-SI"/>
              </w:rPr>
            </w:pPr>
            <w:r>
              <w:rPr>
                <w:rFonts w:ascii="Tahoma" w:hAnsi="Tahoma" w:cs="Tahoma"/>
                <w:sz w:val="18"/>
                <w:szCs w:val="18"/>
                <w:lang w:eastAsia="sl-SI"/>
              </w:rPr>
              <w:t>976.154</w:t>
            </w:r>
          </w:p>
        </w:tc>
      </w:tr>
      <w:tr w:rsidR="00D44AC3" w:rsidRPr="00750D69" w14:paraId="06576DB0" w14:textId="77777777" w:rsidTr="008B3FD8">
        <w:trPr>
          <w:trHeight w:val="255"/>
        </w:trPr>
        <w:tc>
          <w:tcPr>
            <w:tcW w:w="919" w:type="dxa"/>
            <w:tcBorders>
              <w:top w:val="nil"/>
              <w:left w:val="nil"/>
              <w:bottom w:val="nil"/>
              <w:right w:val="nil"/>
            </w:tcBorders>
            <w:shd w:val="clear" w:color="auto" w:fill="auto"/>
            <w:noWrap/>
            <w:vAlign w:val="bottom"/>
          </w:tcPr>
          <w:p w14:paraId="4C348ACA"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14:paraId="16BD51A2"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14:paraId="77F17D0E" w14:textId="49FA572B"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0</w:t>
            </w:r>
          </w:p>
        </w:tc>
      </w:tr>
      <w:tr w:rsidR="00D44AC3" w:rsidRPr="00750D69" w14:paraId="42AA18A3" w14:textId="77777777" w:rsidTr="008B3FD8">
        <w:trPr>
          <w:trHeight w:val="255"/>
        </w:trPr>
        <w:tc>
          <w:tcPr>
            <w:tcW w:w="919" w:type="dxa"/>
            <w:tcBorders>
              <w:top w:val="nil"/>
              <w:left w:val="nil"/>
              <w:bottom w:val="nil"/>
              <w:right w:val="nil"/>
            </w:tcBorders>
            <w:shd w:val="clear" w:color="auto" w:fill="auto"/>
            <w:noWrap/>
            <w:vAlign w:val="bottom"/>
          </w:tcPr>
          <w:p w14:paraId="6317A61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14:paraId="1D4CBB0C"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14:paraId="23B06F49" w14:textId="11309AD0" w:rsidR="009D166E" w:rsidRPr="00094117" w:rsidRDefault="00F26E56" w:rsidP="00A75A74">
            <w:pPr>
              <w:jc w:val="right"/>
              <w:outlineLvl w:val="3"/>
              <w:rPr>
                <w:rFonts w:ascii="Tahoma" w:hAnsi="Tahoma" w:cs="Tahoma"/>
                <w:sz w:val="18"/>
                <w:szCs w:val="18"/>
                <w:lang w:eastAsia="sl-SI"/>
              </w:rPr>
            </w:pPr>
            <w:r>
              <w:rPr>
                <w:rFonts w:ascii="Tahoma" w:hAnsi="Tahoma" w:cs="Tahoma"/>
                <w:sz w:val="18"/>
                <w:szCs w:val="18"/>
                <w:lang w:eastAsia="sl-SI"/>
              </w:rPr>
              <w:t>75.752</w:t>
            </w:r>
          </w:p>
        </w:tc>
      </w:tr>
      <w:tr w:rsidR="00D44AC3" w:rsidRPr="00750D69" w14:paraId="56F14A8F" w14:textId="77777777" w:rsidTr="008B3FD8">
        <w:trPr>
          <w:trHeight w:val="255"/>
        </w:trPr>
        <w:tc>
          <w:tcPr>
            <w:tcW w:w="919" w:type="dxa"/>
            <w:tcBorders>
              <w:top w:val="nil"/>
              <w:left w:val="nil"/>
              <w:bottom w:val="nil"/>
              <w:right w:val="nil"/>
            </w:tcBorders>
            <w:shd w:val="clear" w:color="auto" w:fill="auto"/>
            <w:noWrap/>
            <w:vAlign w:val="bottom"/>
          </w:tcPr>
          <w:p w14:paraId="12800C3F"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14:paraId="556276FF" w14:textId="77777777" w:rsidR="009D166E" w:rsidRPr="00750D69" w:rsidRDefault="009D166E" w:rsidP="008B3FD8">
            <w:pPr>
              <w:jc w:val="left"/>
              <w:outlineLvl w:val="2"/>
              <w:rPr>
                <w:rFonts w:ascii="Tahoma" w:hAnsi="Tahoma" w:cs="Tahoma"/>
                <w:sz w:val="18"/>
                <w:szCs w:val="18"/>
                <w:u w:val="single"/>
                <w:lang w:eastAsia="sl-SI"/>
              </w:rPr>
            </w:pPr>
            <w:r w:rsidRPr="00750D69">
              <w:rPr>
                <w:rFonts w:ascii="Tahoma" w:hAnsi="Tahoma" w:cs="Tahoma"/>
                <w:sz w:val="18"/>
                <w:szCs w:val="18"/>
                <w:u w:val="single"/>
                <w:lang w:eastAsia="sl-SI"/>
              </w:rPr>
              <w:t>TEKOČI TRANSFERI</w:t>
            </w:r>
            <w:r w:rsidRPr="00750D69">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14:paraId="3D7BF1A0" w14:textId="43DC3F57" w:rsidR="009D166E" w:rsidRPr="00094117" w:rsidRDefault="00B633EF" w:rsidP="00836302">
            <w:pPr>
              <w:jc w:val="right"/>
              <w:outlineLvl w:val="2"/>
              <w:rPr>
                <w:rFonts w:ascii="Tahoma" w:hAnsi="Tahoma" w:cs="Tahoma"/>
                <w:sz w:val="18"/>
                <w:szCs w:val="18"/>
                <w:u w:val="single"/>
                <w:lang w:eastAsia="sl-SI"/>
              </w:rPr>
            </w:pPr>
            <w:r>
              <w:rPr>
                <w:rFonts w:ascii="Tahoma" w:hAnsi="Tahoma" w:cs="Tahoma"/>
                <w:sz w:val="18"/>
                <w:szCs w:val="18"/>
                <w:u w:val="single"/>
                <w:lang w:eastAsia="sl-SI"/>
              </w:rPr>
              <w:t>1.65</w:t>
            </w:r>
            <w:r w:rsidR="00F26E56">
              <w:rPr>
                <w:rFonts w:ascii="Tahoma" w:hAnsi="Tahoma" w:cs="Tahoma"/>
                <w:sz w:val="18"/>
                <w:szCs w:val="18"/>
                <w:u w:val="single"/>
                <w:lang w:eastAsia="sl-SI"/>
              </w:rPr>
              <w:t>1</w:t>
            </w:r>
            <w:r>
              <w:rPr>
                <w:rFonts w:ascii="Tahoma" w:hAnsi="Tahoma" w:cs="Tahoma"/>
                <w:sz w:val="18"/>
                <w:szCs w:val="18"/>
                <w:u w:val="single"/>
                <w:lang w:eastAsia="sl-SI"/>
              </w:rPr>
              <w:t>.498</w:t>
            </w:r>
          </w:p>
        </w:tc>
      </w:tr>
      <w:tr w:rsidR="00D44AC3" w:rsidRPr="00750D69" w14:paraId="3DEC6506" w14:textId="77777777" w:rsidTr="008B3FD8">
        <w:trPr>
          <w:trHeight w:val="255"/>
        </w:trPr>
        <w:tc>
          <w:tcPr>
            <w:tcW w:w="919" w:type="dxa"/>
            <w:tcBorders>
              <w:top w:val="nil"/>
              <w:left w:val="nil"/>
              <w:bottom w:val="nil"/>
              <w:right w:val="nil"/>
            </w:tcBorders>
            <w:shd w:val="clear" w:color="auto" w:fill="auto"/>
            <w:noWrap/>
            <w:vAlign w:val="bottom"/>
          </w:tcPr>
          <w:p w14:paraId="01C63C13"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14:paraId="2CFB5C80"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14:paraId="42186BCD" w14:textId="7A7F6B1F" w:rsidR="009D166E" w:rsidRPr="00094117" w:rsidRDefault="00B633EF" w:rsidP="00D44AC3">
            <w:pPr>
              <w:jc w:val="right"/>
              <w:outlineLvl w:val="3"/>
              <w:rPr>
                <w:rFonts w:ascii="Tahoma" w:hAnsi="Tahoma" w:cs="Tahoma"/>
                <w:sz w:val="18"/>
                <w:szCs w:val="18"/>
                <w:lang w:eastAsia="sl-SI"/>
              </w:rPr>
            </w:pPr>
            <w:r>
              <w:rPr>
                <w:rFonts w:ascii="Tahoma" w:hAnsi="Tahoma" w:cs="Tahoma"/>
                <w:sz w:val="18"/>
                <w:szCs w:val="18"/>
                <w:lang w:eastAsia="sl-SI"/>
              </w:rPr>
              <w:t>22.000</w:t>
            </w:r>
          </w:p>
        </w:tc>
      </w:tr>
      <w:tr w:rsidR="00D44AC3" w:rsidRPr="00750D69" w14:paraId="62EA087E" w14:textId="77777777" w:rsidTr="008B3FD8">
        <w:trPr>
          <w:trHeight w:val="255"/>
        </w:trPr>
        <w:tc>
          <w:tcPr>
            <w:tcW w:w="919" w:type="dxa"/>
            <w:tcBorders>
              <w:top w:val="nil"/>
              <w:left w:val="nil"/>
              <w:bottom w:val="nil"/>
              <w:right w:val="nil"/>
            </w:tcBorders>
            <w:shd w:val="clear" w:color="auto" w:fill="auto"/>
            <w:noWrap/>
            <w:vAlign w:val="bottom"/>
          </w:tcPr>
          <w:p w14:paraId="30EC70F2"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14:paraId="79B5BE9D"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14:paraId="4C5E90E9" w14:textId="19A3557D" w:rsidR="009D166E" w:rsidRPr="00094117" w:rsidRDefault="00B633EF" w:rsidP="00A75A74">
            <w:pPr>
              <w:jc w:val="right"/>
              <w:outlineLvl w:val="3"/>
              <w:rPr>
                <w:rFonts w:ascii="Tahoma" w:hAnsi="Tahoma" w:cs="Tahoma"/>
                <w:sz w:val="18"/>
                <w:szCs w:val="18"/>
                <w:lang w:eastAsia="sl-SI"/>
              </w:rPr>
            </w:pPr>
            <w:r>
              <w:rPr>
                <w:rFonts w:ascii="Tahoma" w:hAnsi="Tahoma" w:cs="Tahoma"/>
                <w:sz w:val="18"/>
                <w:szCs w:val="18"/>
                <w:lang w:eastAsia="sl-SI"/>
              </w:rPr>
              <w:t>859.442</w:t>
            </w:r>
          </w:p>
        </w:tc>
      </w:tr>
      <w:tr w:rsidR="00D44AC3" w:rsidRPr="00750D69" w14:paraId="58A650E4" w14:textId="77777777" w:rsidTr="008B3FD8">
        <w:trPr>
          <w:trHeight w:val="255"/>
        </w:trPr>
        <w:tc>
          <w:tcPr>
            <w:tcW w:w="919" w:type="dxa"/>
            <w:tcBorders>
              <w:top w:val="nil"/>
              <w:left w:val="nil"/>
              <w:bottom w:val="nil"/>
              <w:right w:val="nil"/>
            </w:tcBorders>
            <w:shd w:val="clear" w:color="auto" w:fill="auto"/>
            <w:noWrap/>
            <w:vAlign w:val="bottom"/>
          </w:tcPr>
          <w:p w14:paraId="4754BF69"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14:paraId="193FFFB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14:paraId="47426194" w14:textId="5E3242E9" w:rsidR="009D166E" w:rsidRPr="00094117" w:rsidRDefault="00B633EF" w:rsidP="00A75A74">
            <w:pPr>
              <w:jc w:val="right"/>
              <w:outlineLvl w:val="3"/>
              <w:rPr>
                <w:rFonts w:ascii="Tahoma" w:hAnsi="Tahoma" w:cs="Tahoma"/>
                <w:sz w:val="18"/>
                <w:szCs w:val="18"/>
                <w:lang w:eastAsia="sl-SI"/>
              </w:rPr>
            </w:pPr>
            <w:r>
              <w:rPr>
                <w:rFonts w:ascii="Tahoma" w:hAnsi="Tahoma" w:cs="Tahoma"/>
                <w:sz w:val="18"/>
                <w:szCs w:val="18"/>
                <w:lang w:eastAsia="sl-SI"/>
              </w:rPr>
              <w:t>2</w:t>
            </w:r>
            <w:r w:rsidR="00F26E56">
              <w:rPr>
                <w:rFonts w:ascii="Tahoma" w:hAnsi="Tahoma" w:cs="Tahoma"/>
                <w:sz w:val="18"/>
                <w:szCs w:val="18"/>
                <w:lang w:eastAsia="sl-SI"/>
              </w:rPr>
              <w:t>15</w:t>
            </w:r>
            <w:r>
              <w:rPr>
                <w:rFonts w:ascii="Tahoma" w:hAnsi="Tahoma" w:cs="Tahoma"/>
                <w:sz w:val="18"/>
                <w:szCs w:val="18"/>
                <w:lang w:eastAsia="sl-SI"/>
              </w:rPr>
              <w:t>.213</w:t>
            </w:r>
          </w:p>
        </w:tc>
      </w:tr>
      <w:tr w:rsidR="00094117" w:rsidRPr="00094117" w14:paraId="0D9986A1" w14:textId="77777777" w:rsidTr="008B3FD8">
        <w:trPr>
          <w:trHeight w:val="255"/>
        </w:trPr>
        <w:tc>
          <w:tcPr>
            <w:tcW w:w="919" w:type="dxa"/>
            <w:tcBorders>
              <w:top w:val="nil"/>
              <w:left w:val="nil"/>
              <w:bottom w:val="nil"/>
              <w:right w:val="nil"/>
            </w:tcBorders>
            <w:shd w:val="clear" w:color="auto" w:fill="auto"/>
            <w:noWrap/>
            <w:vAlign w:val="bottom"/>
          </w:tcPr>
          <w:p w14:paraId="7F7A2AC4"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14:paraId="0CC7AFA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14:paraId="63AA0BF4" w14:textId="1F7D44C3" w:rsidR="009D166E" w:rsidRPr="00094117" w:rsidRDefault="00B633EF" w:rsidP="00CB6681">
            <w:pPr>
              <w:jc w:val="right"/>
              <w:outlineLvl w:val="3"/>
              <w:rPr>
                <w:rFonts w:ascii="Tahoma" w:hAnsi="Tahoma" w:cs="Tahoma"/>
                <w:sz w:val="18"/>
                <w:szCs w:val="18"/>
                <w:lang w:eastAsia="sl-SI"/>
              </w:rPr>
            </w:pPr>
            <w:r>
              <w:rPr>
                <w:rFonts w:ascii="Tahoma" w:hAnsi="Tahoma" w:cs="Tahoma"/>
                <w:sz w:val="18"/>
                <w:szCs w:val="18"/>
                <w:lang w:eastAsia="sl-SI"/>
              </w:rPr>
              <w:t>554.843</w:t>
            </w:r>
          </w:p>
        </w:tc>
      </w:tr>
      <w:tr w:rsidR="00094117" w:rsidRPr="00094117" w14:paraId="7B4B2BBA" w14:textId="77777777" w:rsidTr="008B3FD8">
        <w:trPr>
          <w:trHeight w:val="255"/>
        </w:trPr>
        <w:tc>
          <w:tcPr>
            <w:tcW w:w="919" w:type="dxa"/>
            <w:tcBorders>
              <w:top w:val="nil"/>
              <w:left w:val="nil"/>
              <w:bottom w:val="nil"/>
              <w:right w:val="nil"/>
            </w:tcBorders>
            <w:shd w:val="clear" w:color="auto" w:fill="auto"/>
            <w:noWrap/>
            <w:vAlign w:val="bottom"/>
          </w:tcPr>
          <w:p w14:paraId="55CE930C"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14:paraId="70EC14EA"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ODHODKI</w:t>
            </w:r>
            <w:r w:rsidRPr="00750D69">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14:paraId="2BEB41E1" w14:textId="46BF1DA5" w:rsidR="009D166E" w:rsidRPr="00094117" w:rsidRDefault="00B633EF" w:rsidP="002F018F">
            <w:pPr>
              <w:jc w:val="right"/>
              <w:outlineLvl w:val="2"/>
              <w:rPr>
                <w:rFonts w:ascii="Tahoma" w:hAnsi="Tahoma" w:cs="Tahoma"/>
                <w:sz w:val="18"/>
                <w:szCs w:val="18"/>
                <w:u w:val="single"/>
                <w:lang w:eastAsia="sl-SI"/>
              </w:rPr>
            </w:pPr>
            <w:r>
              <w:rPr>
                <w:rFonts w:ascii="Tahoma" w:hAnsi="Tahoma" w:cs="Tahoma"/>
                <w:sz w:val="18"/>
                <w:szCs w:val="18"/>
                <w:u w:val="single"/>
                <w:lang w:eastAsia="sl-SI"/>
              </w:rPr>
              <w:t>1.963.573</w:t>
            </w:r>
          </w:p>
        </w:tc>
      </w:tr>
      <w:tr w:rsidR="00094117" w:rsidRPr="00094117" w14:paraId="0912E9A8" w14:textId="77777777" w:rsidTr="008B3FD8">
        <w:trPr>
          <w:trHeight w:val="255"/>
        </w:trPr>
        <w:tc>
          <w:tcPr>
            <w:tcW w:w="919" w:type="dxa"/>
            <w:tcBorders>
              <w:top w:val="nil"/>
              <w:left w:val="nil"/>
              <w:bottom w:val="nil"/>
              <w:right w:val="nil"/>
            </w:tcBorders>
            <w:shd w:val="clear" w:color="auto" w:fill="auto"/>
            <w:noWrap/>
            <w:vAlign w:val="bottom"/>
          </w:tcPr>
          <w:p w14:paraId="0DD97A5B"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14:paraId="6B37AB3B"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14:paraId="51B0DCC9" w14:textId="67D8D3CE" w:rsidR="009D166E" w:rsidRPr="00094117" w:rsidRDefault="00B633EF" w:rsidP="002F018F">
            <w:pPr>
              <w:jc w:val="right"/>
              <w:outlineLvl w:val="3"/>
              <w:rPr>
                <w:rFonts w:ascii="Tahoma" w:hAnsi="Tahoma" w:cs="Tahoma"/>
                <w:sz w:val="18"/>
                <w:szCs w:val="18"/>
                <w:lang w:eastAsia="sl-SI"/>
              </w:rPr>
            </w:pPr>
            <w:r>
              <w:rPr>
                <w:rFonts w:ascii="Tahoma" w:hAnsi="Tahoma" w:cs="Tahoma"/>
                <w:sz w:val="18"/>
                <w:szCs w:val="18"/>
                <w:lang w:eastAsia="sl-SI"/>
              </w:rPr>
              <w:t>1.963.573</w:t>
            </w:r>
          </w:p>
        </w:tc>
      </w:tr>
      <w:tr w:rsidR="00D44AC3" w:rsidRPr="00750D69" w14:paraId="748B81EC" w14:textId="77777777" w:rsidTr="008B3FD8">
        <w:trPr>
          <w:trHeight w:val="255"/>
        </w:trPr>
        <w:tc>
          <w:tcPr>
            <w:tcW w:w="919" w:type="dxa"/>
            <w:tcBorders>
              <w:top w:val="nil"/>
              <w:left w:val="nil"/>
              <w:bottom w:val="nil"/>
              <w:right w:val="nil"/>
            </w:tcBorders>
            <w:shd w:val="clear" w:color="auto" w:fill="auto"/>
            <w:noWrap/>
            <w:vAlign w:val="bottom"/>
          </w:tcPr>
          <w:p w14:paraId="359A9551" w14:textId="77777777" w:rsidR="009D166E" w:rsidRPr="00750D69" w:rsidRDefault="009D166E" w:rsidP="008B3FD8">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14:paraId="065F229D" w14:textId="77777777" w:rsidR="009D166E" w:rsidRPr="00750D69" w:rsidRDefault="009D166E" w:rsidP="008B3FD8">
            <w:pPr>
              <w:jc w:val="left"/>
              <w:outlineLvl w:val="2"/>
              <w:rPr>
                <w:rFonts w:ascii="Tahoma" w:hAnsi="Tahoma" w:cs="Tahoma"/>
                <w:sz w:val="18"/>
                <w:szCs w:val="18"/>
                <w:lang w:eastAsia="sl-SI"/>
              </w:rPr>
            </w:pPr>
            <w:r w:rsidRPr="00750D69">
              <w:rPr>
                <w:rFonts w:ascii="Tahoma" w:hAnsi="Tahoma" w:cs="Tahoma"/>
                <w:sz w:val="18"/>
                <w:szCs w:val="18"/>
                <w:u w:val="single"/>
                <w:lang w:eastAsia="sl-SI"/>
              </w:rPr>
              <w:t>INVESTICIJSKI TRANSFERI</w:t>
            </w:r>
            <w:r w:rsidRPr="00750D69">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14:paraId="0ABFA0E1" w14:textId="26B44F7F" w:rsidR="009D166E" w:rsidRPr="00094117" w:rsidRDefault="00B633EF"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160.995</w:t>
            </w:r>
          </w:p>
        </w:tc>
      </w:tr>
      <w:tr w:rsidR="00D44AC3" w:rsidRPr="00750D69" w14:paraId="3C4899A0" w14:textId="77777777" w:rsidTr="008B3FD8">
        <w:trPr>
          <w:trHeight w:val="255"/>
        </w:trPr>
        <w:tc>
          <w:tcPr>
            <w:tcW w:w="919" w:type="dxa"/>
            <w:tcBorders>
              <w:top w:val="nil"/>
              <w:left w:val="nil"/>
              <w:bottom w:val="nil"/>
              <w:right w:val="nil"/>
            </w:tcBorders>
            <w:shd w:val="clear" w:color="auto" w:fill="auto"/>
            <w:noWrap/>
            <w:vAlign w:val="bottom"/>
          </w:tcPr>
          <w:p w14:paraId="27041EB1"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14:paraId="641A2BC3"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14:paraId="5B0DD245" w14:textId="36BF57B6" w:rsidR="009D166E" w:rsidRPr="00094117" w:rsidRDefault="00B633EF" w:rsidP="00840145">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750D69" w14:paraId="2F8CEB65" w14:textId="77777777" w:rsidTr="008B3FD8">
        <w:trPr>
          <w:trHeight w:val="255"/>
        </w:trPr>
        <w:tc>
          <w:tcPr>
            <w:tcW w:w="919" w:type="dxa"/>
            <w:tcBorders>
              <w:top w:val="nil"/>
              <w:left w:val="nil"/>
              <w:bottom w:val="nil"/>
              <w:right w:val="nil"/>
            </w:tcBorders>
            <w:shd w:val="clear" w:color="auto" w:fill="auto"/>
            <w:noWrap/>
            <w:vAlign w:val="bottom"/>
          </w:tcPr>
          <w:p w14:paraId="483A72EE" w14:textId="77777777" w:rsidR="009D166E" w:rsidRPr="00750D69" w:rsidRDefault="009D166E" w:rsidP="008B3FD8">
            <w:pPr>
              <w:jc w:val="right"/>
              <w:outlineLvl w:val="3"/>
              <w:rPr>
                <w:rFonts w:ascii="Tahoma" w:hAnsi="Tahoma" w:cs="Tahoma"/>
                <w:sz w:val="18"/>
                <w:szCs w:val="18"/>
                <w:lang w:eastAsia="sl-SI"/>
              </w:rPr>
            </w:pPr>
            <w:r w:rsidRPr="00750D69">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14:paraId="0557EC35" w14:textId="77777777" w:rsidR="009D166E" w:rsidRPr="00750D69" w:rsidRDefault="009D166E" w:rsidP="008B3FD8">
            <w:pPr>
              <w:jc w:val="left"/>
              <w:outlineLvl w:val="3"/>
              <w:rPr>
                <w:rFonts w:ascii="Tahoma" w:hAnsi="Tahoma" w:cs="Tahoma"/>
                <w:sz w:val="18"/>
                <w:szCs w:val="18"/>
                <w:lang w:eastAsia="sl-SI"/>
              </w:rPr>
            </w:pPr>
            <w:r w:rsidRPr="00750D69">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14:paraId="190D5545" w14:textId="6D4E93B1" w:rsidR="009D166E" w:rsidRPr="00094117" w:rsidRDefault="00B633EF" w:rsidP="00991294">
            <w:pPr>
              <w:jc w:val="right"/>
              <w:outlineLvl w:val="3"/>
              <w:rPr>
                <w:rFonts w:ascii="Tahoma" w:hAnsi="Tahoma" w:cs="Tahoma"/>
                <w:sz w:val="18"/>
                <w:szCs w:val="18"/>
                <w:lang w:eastAsia="sl-SI"/>
              </w:rPr>
            </w:pPr>
            <w:r>
              <w:rPr>
                <w:rFonts w:ascii="Tahoma" w:hAnsi="Tahoma" w:cs="Tahoma"/>
                <w:sz w:val="18"/>
                <w:szCs w:val="18"/>
                <w:lang w:eastAsia="sl-SI"/>
              </w:rPr>
              <w:t>142.995</w:t>
            </w:r>
          </w:p>
        </w:tc>
      </w:tr>
      <w:tr w:rsidR="00D44AC3" w:rsidRPr="00750D69" w14:paraId="56C3D970" w14:textId="77777777" w:rsidTr="008B3FD8">
        <w:trPr>
          <w:trHeight w:val="345"/>
        </w:trPr>
        <w:tc>
          <w:tcPr>
            <w:tcW w:w="7675" w:type="dxa"/>
            <w:gridSpan w:val="2"/>
            <w:tcBorders>
              <w:top w:val="nil"/>
              <w:left w:val="nil"/>
              <w:bottom w:val="nil"/>
              <w:right w:val="nil"/>
            </w:tcBorders>
            <w:shd w:val="clear" w:color="auto" w:fill="auto"/>
            <w:noWrap/>
            <w:vAlign w:val="bottom"/>
          </w:tcPr>
          <w:p w14:paraId="4C2F456D" w14:textId="77777777" w:rsidR="009D166E" w:rsidRPr="00750D69" w:rsidRDefault="009D166E" w:rsidP="008B3FD8">
            <w:pPr>
              <w:jc w:val="left"/>
              <w:outlineLvl w:val="6"/>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 PRORAČUNSKI PRESEŽEK (PRIMANKLJAJ) </w:t>
            </w:r>
            <w:r w:rsidRPr="00750D69">
              <w:rPr>
                <w:rFonts w:ascii="Tahoma" w:hAnsi="Tahoma" w:cs="Tahoma"/>
                <w:sz w:val="16"/>
                <w:szCs w:val="16"/>
                <w:lang w:eastAsia="sl-SI"/>
              </w:rPr>
              <w:t>(I.-II.)</w:t>
            </w:r>
            <w:r w:rsidRPr="00750D69">
              <w:rPr>
                <w:rFonts w:ascii="Tahoma" w:hAnsi="Tahoma" w:cs="Tahoma"/>
                <w:sz w:val="20"/>
                <w:szCs w:val="20"/>
                <w:u w:val="single"/>
                <w:lang w:eastAsia="sl-SI"/>
              </w:rPr>
              <w:t xml:space="preserve"> </w:t>
            </w:r>
          </w:p>
          <w:p w14:paraId="4C87483B" w14:textId="77777777" w:rsidR="009D166E" w:rsidRPr="00750D69" w:rsidRDefault="009D166E" w:rsidP="008B3FD8">
            <w:pPr>
              <w:jc w:val="left"/>
              <w:outlineLvl w:val="6"/>
              <w:rPr>
                <w:rFonts w:ascii="Tahoma" w:hAnsi="Tahoma" w:cs="Tahoma"/>
                <w:sz w:val="20"/>
                <w:szCs w:val="20"/>
                <w:lang w:eastAsia="sl-SI"/>
              </w:rPr>
            </w:pPr>
            <w:r w:rsidRPr="00750D69">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14:paraId="7CEACCE8" w14:textId="5627FB82"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-937.428</w:t>
            </w:r>
          </w:p>
        </w:tc>
      </w:tr>
      <w:tr w:rsidR="00D44AC3" w:rsidRPr="00750D69" w14:paraId="474DB386" w14:textId="77777777" w:rsidTr="008B3FD8">
        <w:trPr>
          <w:trHeight w:val="270"/>
        </w:trPr>
        <w:tc>
          <w:tcPr>
            <w:tcW w:w="7675" w:type="dxa"/>
            <w:gridSpan w:val="2"/>
            <w:tcBorders>
              <w:top w:val="nil"/>
              <w:left w:val="nil"/>
              <w:bottom w:val="nil"/>
              <w:right w:val="nil"/>
            </w:tcBorders>
            <w:shd w:val="clear" w:color="auto" w:fill="auto"/>
            <w:noWrap/>
            <w:vAlign w:val="bottom"/>
          </w:tcPr>
          <w:p w14:paraId="327992F4"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III./1. PRIMARNI PRESEŽEK (PRIMANKLJAJ) </w:t>
            </w:r>
            <w:r w:rsidRPr="00750D69">
              <w:rPr>
                <w:rFonts w:ascii="Tahoma" w:hAnsi="Tahoma" w:cs="Tahoma"/>
                <w:sz w:val="16"/>
                <w:szCs w:val="16"/>
                <w:u w:val="single"/>
                <w:lang w:eastAsia="sl-SI"/>
              </w:rPr>
              <w:t>(I. – 7102) – (II.-403-404)</w:t>
            </w:r>
          </w:p>
          <w:p w14:paraId="7D075861"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14:paraId="1DD674DB" w14:textId="0EE245E7"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-937.428</w:t>
            </w:r>
          </w:p>
        </w:tc>
      </w:tr>
      <w:tr w:rsidR="00D44AC3" w:rsidRPr="00750D69" w14:paraId="3353B5B5" w14:textId="77777777" w:rsidTr="008B3FD8">
        <w:trPr>
          <w:trHeight w:val="345"/>
        </w:trPr>
        <w:tc>
          <w:tcPr>
            <w:tcW w:w="7675" w:type="dxa"/>
            <w:gridSpan w:val="2"/>
            <w:tcBorders>
              <w:top w:val="nil"/>
              <w:left w:val="nil"/>
              <w:bottom w:val="nil"/>
              <w:right w:val="nil"/>
            </w:tcBorders>
            <w:shd w:val="clear" w:color="auto" w:fill="auto"/>
            <w:noWrap/>
            <w:vAlign w:val="bottom"/>
          </w:tcPr>
          <w:p w14:paraId="0AECFDD7" w14:textId="77777777" w:rsidR="009D166E" w:rsidRPr="00750D69" w:rsidRDefault="009D166E" w:rsidP="008B3FD8">
            <w:pPr>
              <w:jc w:val="left"/>
              <w:outlineLvl w:val="6"/>
              <w:rPr>
                <w:rFonts w:ascii="Tahoma" w:hAnsi="Tahoma" w:cs="Tahoma"/>
                <w:sz w:val="16"/>
                <w:szCs w:val="16"/>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III./2. TEKOČI PRESEŽEK (PRIMANKLJAJ) </w:t>
            </w:r>
            <w:r w:rsidRPr="00750D69">
              <w:rPr>
                <w:rFonts w:ascii="Tahoma" w:hAnsi="Tahoma" w:cs="Tahoma"/>
                <w:sz w:val="16"/>
                <w:szCs w:val="16"/>
                <w:u w:val="single"/>
                <w:lang w:eastAsia="sl-SI"/>
              </w:rPr>
              <w:t>(70+71)-(40+41)</w:t>
            </w:r>
          </w:p>
          <w:p w14:paraId="40D2D2A2" w14:textId="77777777" w:rsidR="009D166E" w:rsidRPr="00750D69" w:rsidRDefault="009D166E" w:rsidP="008B3FD8">
            <w:pPr>
              <w:jc w:val="left"/>
              <w:outlineLvl w:val="6"/>
              <w:rPr>
                <w:rFonts w:ascii="Tahoma" w:hAnsi="Tahoma" w:cs="Tahoma"/>
                <w:sz w:val="16"/>
                <w:szCs w:val="16"/>
                <w:lang w:eastAsia="sl-SI"/>
              </w:rPr>
            </w:pPr>
            <w:r w:rsidRPr="00750D69">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14:paraId="72E76D29" w14:textId="3F54DB08"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986.907</w:t>
            </w:r>
          </w:p>
        </w:tc>
      </w:tr>
      <w:tr w:rsidR="00D44AC3" w:rsidRPr="00750D69" w14:paraId="7DBCA6FB" w14:textId="77777777" w:rsidTr="008B3FD8">
        <w:trPr>
          <w:trHeight w:val="255"/>
        </w:trPr>
        <w:tc>
          <w:tcPr>
            <w:tcW w:w="919" w:type="dxa"/>
            <w:tcBorders>
              <w:top w:val="nil"/>
              <w:left w:val="nil"/>
              <w:bottom w:val="nil"/>
              <w:right w:val="nil"/>
            </w:tcBorders>
            <w:shd w:val="clear" w:color="auto" w:fill="auto"/>
            <w:noWrap/>
            <w:vAlign w:val="bottom"/>
          </w:tcPr>
          <w:p w14:paraId="2D6EA551"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08C8CF9F"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14:paraId="1AD1CD46" w14:textId="77777777" w:rsidR="009D166E" w:rsidRPr="00094117" w:rsidRDefault="009D166E" w:rsidP="008B3FD8">
            <w:pPr>
              <w:jc w:val="left"/>
              <w:rPr>
                <w:rFonts w:ascii="Tahoma" w:hAnsi="Tahoma" w:cs="Tahoma"/>
                <w:b/>
                <w:sz w:val="20"/>
                <w:szCs w:val="20"/>
                <w:lang w:eastAsia="sl-SI"/>
              </w:rPr>
            </w:pPr>
          </w:p>
        </w:tc>
      </w:tr>
      <w:tr w:rsidR="002760C8" w:rsidRPr="00750D69" w14:paraId="0C7CF79B" w14:textId="77777777" w:rsidTr="00972CEA">
        <w:trPr>
          <w:trHeight w:val="270"/>
        </w:trPr>
        <w:tc>
          <w:tcPr>
            <w:tcW w:w="7675" w:type="dxa"/>
            <w:gridSpan w:val="2"/>
            <w:tcBorders>
              <w:top w:val="nil"/>
              <w:left w:val="nil"/>
              <w:bottom w:val="nil"/>
              <w:right w:val="nil"/>
            </w:tcBorders>
            <w:shd w:val="clear" w:color="auto" w:fill="auto"/>
            <w:noWrap/>
            <w:vAlign w:val="bottom"/>
          </w:tcPr>
          <w:p w14:paraId="495EDFFF"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IV. PREJETA VRAČILA DANIH POSOJIL IN PRODAJA KAPITALSKIH DELEŽEV </w:t>
            </w:r>
          </w:p>
          <w:p w14:paraId="57C41A5E"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14:paraId="19347519" w14:textId="3563A350" w:rsidR="002760C8" w:rsidRPr="00094117" w:rsidRDefault="00B633EF"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750D69" w14:paraId="1FA31D5F" w14:textId="77777777" w:rsidTr="00972CEA">
        <w:trPr>
          <w:trHeight w:val="255"/>
        </w:trPr>
        <w:tc>
          <w:tcPr>
            <w:tcW w:w="919" w:type="dxa"/>
            <w:tcBorders>
              <w:top w:val="nil"/>
              <w:left w:val="nil"/>
              <w:bottom w:val="nil"/>
              <w:right w:val="nil"/>
            </w:tcBorders>
            <w:shd w:val="clear" w:color="auto" w:fill="auto"/>
            <w:noWrap/>
            <w:vAlign w:val="bottom"/>
          </w:tcPr>
          <w:p w14:paraId="3133BFA4"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14:paraId="294BB14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PREJETA VRAČILA DANIH POSOJIL IN PRODAJA KAPITALSKIH DELEŽEV</w:t>
            </w:r>
            <w:r w:rsidRPr="00750D69">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14:paraId="57DBA057" w14:textId="4A7D12FF" w:rsidR="002760C8" w:rsidRPr="00094117" w:rsidRDefault="00B633EF"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750D69" w14:paraId="57701271" w14:textId="77777777" w:rsidTr="00972CEA">
        <w:trPr>
          <w:trHeight w:val="255"/>
        </w:trPr>
        <w:tc>
          <w:tcPr>
            <w:tcW w:w="919" w:type="dxa"/>
            <w:tcBorders>
              <w:top w:val="nil"/>
              <w:left w:val="nil"/>
              <w:bottom w:val="nil"/>
              <w:right w:val="nil"/>
            </w:tcBorders>
            <w:shd w:val="clear" w:color="auto" w:fill="auto"/>
            <w:noWrap/>
            <w:vAlign w:val="bottom"/>
          </w:tcPr>
          <w:p w14:paraId="4FAA9157" w14:textId="77777777" w:rsidR="002760C8" w:rsidRPr="00750D69" w:rsidRDefault="002760C8" w:rsidP="006F089A">
            <w:pPr>
              <w:jc w:val="right"/>
              <w:outlineLvl w:val="3"/>
              <w:rPr>
                <w:rFonts w:ascii="Tahoma" w:hAnsi="Tahoma" w:cs="Tahoma"/>
                <w:sz w:val="18"/>
                <w:szCs w:val="18"/>
                <w:lang w:eastAsia="sl-SI"/>
              </w:rPr>
            </w:pPr>
            <w:r w:rsidRPr="00750D69">
              <w:rPr>
                <w:rFonts w:ascii="Tahoma" w:hAnsi="Tahoma" w:cs="Tahoma"/>
                <w:sz w:val="18"/>
                <w:szCs w:val="18"/>
                <w:lang w:eastAsia="sl-SI"/>
              </w:rPr>
              <w:t>75</w:t>
            </w:r>
            <w:r w:rsidR="006F089A" w:rsidRPr="00750D69">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14:paraId="5D96898D" w14:textId="77777777" w:rsidR="002760C8" w:rsidRPr="00750D69" w:rsidRDefault="002760C8" w:rsidP="006F089A">
            <w:pPr>
              <w:jc w:val="left"/>
              <w:outlineLvl w:val="3"/>
              <w:rPr>
                <w:rFonts w:ascii="Tahoma" w:hAnsi="Tahoma" w:cs="Tahoma"/>
                <w:sz w:val="18"/>
                <w:szCs w:val="18"/>
                <w:lang w:eastAsia="sl-SI"/>
              </w:rPr>
            </w:pPr>
            <w:r w:rsidRPr="00750D69">
              <w:rPr>
                <w:rFonts w:ascii="Tahoma" w:hAnsi="Tahoma" w:cs="Tahoma"/>
                <w:sz w:val="18"/>
                <w:szCs w:val="18"/>
                <w:lang w:eastAsia="sl-SI"/>
              </w:rPr>
              <w:t>Pr</w:t>
            </w:r>
            <w:r w:rsidR="006F089A" w:rsidRPr="00750D69">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14:paraId="7327C2FB" w14:textId="3B4E9FCC" w:rsidR="002760C8" w:rsidRPr="00094117" w:rsidRDefault="00B633EF"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750D69" w14:paraId="4FF510DF" w14:textId="77777777" w:rsidTr="00972CEA">
        <w:trPr>
          <w:trHeight w:val="270"/>
        </w:trPr>
        <w:tc>
          <w:tcPr>
            <w:tcW w:w="7675" w:type="dxa"/>
            <w:gridSpan w:val="2"/>
            <w:tcBorders>
              <w:top w:val="nil"/>
              <w:left w:val="nil"/>
              <w:bottom w:val="nil"/>
              <w:right w:val="nil"/>
            </w:tcBorders>
            <w:shd w:val="clear" w:color="auto" w:fill="auto"/>
            <w:noWrap/>
            <w:vAlign w:val="bottom"/>
          </w:tcPr>
          <w:p w14:paraId="01804B40" w14:textId="77777777" w:rsidR="002760C8" w:rsidRPr="00750D69" w:rsidRDefault="002760C8" w:rsidP="00972CEA">
            <w:pPr>
              <w:jc w:val="left"/>
              <w:outlineLvl w:val="0"/>
              <w:rPr>
                <w:rFonts w:ascii="Tahoma" w:hAnsi="Tahoma" w:cs="Tahoma"/>
                <w:sz w:val="20"/>
                <w:szCs w:val="20"/>
                <w:u w:val="single"/>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 xml:space="preserve">V. DANA POSOJILA IN POVEČANJE KAPITALSKIH DELEŽEV </w:t>
            </w:r>
          </w:p>
          <w:p w14:paraId="31D393B1" w14:textId="77777777" w:rsidR="002760C8" w:rsidRPr="00750D69" w:rsidRDefault="002760C8" w:rsidP="00972CEA">
            <w:pPr>
              <w:jc w:val="left"/>
              <w:outlineLvl w:val="0"/>
              <w:rPr>
                <w:rFonts w:ascii="Tahoma" w:hAnsi="Tahoma" w:cs="Tahoma"/>
                <w:sz w:val="16"/>
                <w:szCs w:val="16"/>
                <w:lang w:eastAsia="sl-SI"/>
              </w:rPr>
            </w:pPr>
            <w:r w:rsidRPr="00750D69">
              <w:rPr>
                <w:rFonts w:ascii="Tahoma" w:hAnsi="Tahoma" w:cs="Tahoma"/>
                <w:sz w:val="16"/>
                <w:szCs w:val="16"/>
                <w:lang w:eastAsia="sl-SI"/>
              </w:rPr>
              <w:t xml:space="preserve">             (440+441+442+443)</w:t>
            </w:r>
          </w:p>
        </w:tc>
        <w:tc>
          <w:tcPr>
            <w:tcW w:w="1145" w:type="dxa"/>
            <w:tcBorders>
              <w:top w:val="nil"/>
              <w:left w:val="nil"/>
              <w:bottom w:val="nil"/>
              <w:right w:val="nil"/>
            </w:tcBorders>
            <w:shd w:val="clear" w:color="auto" w:fill="auto"/>
            <w:noWrap/>
            <w:vAlign w:val="bottom"/>
          </w:tcPr>
          <w:p w14:paraId="1CD5C50C" w14:textId="525522CF" w:rsidR="002760C8" w:rsidRPr="00094117" w:rsidRDefault="00B633EF"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0</w:t>
            </w:r>
          </w:p>
        </w:tc>
      </w:tr>
      <w:tr w:rsidR="002760C8" w:rsidRPr="00750D69" w14:paraId="5160C81D" w14:textId="77777777" w:rsidTr="00972CEA">
        <w:trPr>
          <w:trHeight w:val="255"/>
        </w:trPr>
        <w:tc>
          <w:tcPr>
            <w:tcW w:w="919" w:type="dxa"/>
            <w:tcBorders>
              <w:top w:val="nil"/>
              <w:left w:val="nil"/>
              <w:bottom w:val="nil"/>
              <w:right w:val="nil"/>
            </w:tcBorders>
            <w:shd w:val="clear" w:color="auto" w:fill="auto"/>
            <w:noWrap/>
            <w:vAlign w:val="bottom"/>
          </w:tcPr>
          <w:p w14:paraId="0795235A" w14:textId="77777777" w:rsidR="002760C8" w:rsidRPr="00750D69" w:rsidRDefault="002760C8" w:rsidP="00972CEA">
            <w:pPr>
              <w:jc w:val="right"/>
              <w:outlineLvl w:val="2"/>
              <w:rPr>
                <w:rFonts w:ascii="Tahoma" w:hAnsi="Tahoma" w:cs="Tahoma"/>
                <w:sz w:val="18"/>
                <w:szCs w:val="18"/>
                <w:u w:val="single"/>
                <w:lang w:eastAsia="sl-SI"/>
              </w:rPr>
            </w:pPr>
            <w:r w:rsidRPr="00750D69">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14:paraId="7F79F7E0" w14:textId="77777777" w:rsidR="002760C8" w:rsidRPr="00750D69" w:rsidRDefault="002760C8" w:rsidP="00972CEA">
            <w:pPr>
              <w:jc w:val="left"/>
              <w:outlineLvl w:val="2"/>
              <w:rPr>
                <w:rFonts w:ascii="Tahoma" w:hAnsi="Tahoma" w:cs="Tahoma"/>
                <w:sz w:val="16"/>
                <w:szCs w:val="16"/>
                <w:lang w:eastAsia="sl-SI"/>
              </w:rPr>
            </w:pPr>
            <w:r w:rsidRPr="00750D69">
              <w:rPr>
                <w:rFonts w:ascii="Tahoma" w:hAnsi="Tahoma" w:cs="Tahoma"/>
                <w:sz w:val="18"/>
                <w:szCs w:val="18"/>
                <w:u w:val="single"/>
                <w:lang w:eastAsia="sl-SI"/>
              </w:rPr>
              <w:t>DANA POSOJILA IN POVEČANJE KAPITALSKIH DELEŽEV</w:t>
            </w:r>
            <w:r w:rsidRPr="00750D69">
              <w:rPr>
                <w:rFonts w:ascii="Tahoma" w:hAnsi="Tahoma" w:cs="Tahoma"/>
                <w:sz w:val="16"/>
                <w:szCs w:val="16"/>
                <w:lang w:eastAsia="sl-SI"/>
              </w:rPr>
              <w:t xml:space="preserve"> (441)</w:t>
            </w:r>
          </w:p>
        </w:tc>
        <w:tc>
          <w:tcPr>
            <w:tcW w:w="1145" w:type="dxa"/>
            <w:tcBorders>
              <w:top w:val="nil"/>
              <w:left w:val="nil"/>
              <w:bottom w:val="nil"/>
              <w:right w:val="nil"/>
            </w:tcBorders>
            <w:shd w:val="clear" w:color="auto" w:fill="auto"/>
            <w:noWrap/>
            <w:vAlign w:val="bottom"/>
          </w:tcPr>
          <w:p w14:paraId="052757D2" w14:textId="272546E7" w:rsidR="002760C8" w:rsidRPr="00094117" w:rsidRDefault="00B633EF"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0</w:t>
            </w:r>
          </w:p>
        </w:tc>
      </w:tr>
      <w:tr w:rsidR="002760C8" w:rsidRPr="00750D69" w14:paraId="121E955C" w14:textId="77777777" w:rsidTr="00972CEA">
        <w:trPr>
          <w:trHeight w:val="255"/>
        </w:trPr>
        <w:tc>
          <w:tcPr>
            <w:tcW w:w="919" w:type="dxa"/>
            <w:tcBorders>
              <w:top w:val="nil"/>
              <w:left w:val="nil"/>
              <w:bottom w:val="nil"/>
              <w:right w:val="nil"/>
            </w:tcBorders>
            <w:shd w:val="clear" w:color="auto" w:fill="auto"/>
            <w:noWrap/>
            <w:vAlign w:val="bottom"/>
          </w:tcPr>
          <w:p w14:paraId="08E9DC8D" w14:textId="77777777" w:rsidR="002760C8" w:rsidRPr="00750D69" w:rsidRDefault="002760C8" w:rsidP="00972CEA">
            <w:pPr>
              <w:jc w:val="right"/>
              <w:outlineLvl w:val="3"/>
              <w:rPr>
                <w:rFonts w:ascii="Tahoma" w:hAnsi="Tahoma" w:cs="Tahoma"/>
                <w:sz w:val="18"/>
                <w:szCs w:val="18"/>
                <w:lang w:eastAsia="sl-SI"/>
              </w:rPr>
            </w:pPr>
            <w:r w:rsidRPr="00750D69">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14:paraId="0EBEC2CD" w14:textId="77777777" w:rsidR="002760C8" w:rsidRPr="00750D69" w:rsidRDefault="002760C8" w:rsidP="00972CEA">
            <w:pPr>
              <w:jc w:val="left"/>
              <w:outlineLvl w:val="3"/>
              <w:rPr>
                <w:rFonts w:ascii="Tahoma" w:hAnsi="Tahoma" w:cs="Tahoma"/>
                <w:sz w:val="18"/>
                <w:szCs w:val="18"/>
                <w:lang w:eastAsia="sl-SI"/>
              </w:rPr>
            </w:pPr>
            <w:r w:rsidRPr="00750D69">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14:paraId="4743E114" w14:textId="5C1DCE61" w:rsidR="002760C8" w:rsidRPr="00094117" w:rsidRDefault="00B633EF" w:rsidP="00972CEA">
            <w:pPr>
              <w:jc w:val="right"/>
              <w:outlineLvl w:val="3"/>
              <w:rPr>
                <w:rFonts w:ascii="Tahoma" w:hAnsi="Tahoma" w:cs="Tahoma"/>
                <w:sz w:val="18"/>
                <w:szCs w:val="18"/>
                <w:lang w:eastAsia="sl-SI"/>
              </w:rPr>
            </w:pPr>
            <w:r>
              <w:rPr>
                <w:rFonts w:ascii="Tahoma" w:hAnsi="Tahoma" w:cs="Tahoma"/>
                <w:sz w:val="18"/>
                <w:szCs w:val="18"/>
                <w:lang w:eastAsia="sl-SI"/>
              </w:rPr>
              <w:t>0</w:t>
            </w:r>
          </w:p>
        </w:tc>
      </w:tr>
      <w:tr w:rsidR="002760C8" w:rsidRPr="00750D69" w14:paraId="71512019" w14:textId="77777777" w:rsidTr="00972CEA">
        <w:trPr>
          <w:trHeight w:val="345"/>
        </w:trPr>
        <w:tc>
          <w:tcPr>
            <w:tcW w:w="7675" w:type="dxa"/>
            <w:gridSpan w:val="2"/>
            <w:tcBorders>
              <w:top w:val="nil"/>
              <w:left w:val="nil"/>
              <w:bottom w:val="nil"/>
              <w:right w:val="nil"/>
            </w:tcBorders>
            <w:shd w:val="clear" w:color="auto" w:fill="auto"/>
            <w:noWrap/>
            <w:vAlign w:val="bottom"/>
          </w:tcPr>
          <w:p w14:paraId="3A549CC6" w14:textId="77777777" w:rsidR="002760C8" w:rsidRPr="00750D69" w:rsidRDefault="002760C8" w:rsidP="002760C8">
            <w:pPr>
              <w:ind w:right="-50"/>
              <w:jc w:val="left"/>
              <w:outlineLvl w:val="6"/>
              <w:rPr>
                <w:rFonts w:ascii="Tahoma" w:hAnsi="Tahoma" w:cs="Tahoma"/>
                <w:sz w:val="20"/>
                <w:szCs w:val="20"/>
                <w:lang w:eastAsia="sl-SI"/>
              </w:rPr>
            </w:pPr>
            <w:r w:rsidRPr="00750D69">
              <w:rPr>
                <w:rFonts w:ascii="Tahoma" w:hAnsi="Tahoma" w:cs="Tahoma"/>
                <w:sz w:val="20"/>
                <w:szCs w:val="20"/>
                <w:lang w:eastAsia="sl-SI"/>
              </w:rPr>
              <w:t> </w:t>
            </w:r>
            <w:r w:rsidRPr="00750D69">
              <w:rPr>
                <w:rFonts w:ascii="Tahoma" w:hAnsi="Tahoma" w:cs="Tahoma"/>
                <w:sz w:val="20"/>
                <w:szCs w:val="20"/>
                <w:u w:val="single"/>
                <w:lang w:eastAsia="sl-SI"/>
              </w:rPr>
              <w:t>VI. PREJETA MINUS DANA POSOJILA IN SPREMEMBE KAPITALSKIH DELEŽEV</w:t>
            </w:r>
            <w:r w:rsidRPr="00750D69">
              <w:rPr>
                <w:rFonts w:ascii="Tahoma" w:hAnsi="Tahoma" w:cs="Tahoma"/>
                <w:sz w:val="20"/>
                <w:szCs w:val="20"/>
                <w:lang w:eastAsia="sl-SI"/>
              </w:rPr>
              <w:t xml:space="preserve"> </w:t>
            </w:r>
            <w:r w:rsidRPr="00750D69">
              <w:rPr>
                <w:rFonts w:ascii="Tahoma" w:hAnsi="Tahoma" w:cs="Tahoma"/>
                <w:sz w:val="16"/>
                <w:szCs w:val="16"/>
                <w:lang w:eastAsia="sl-SI"/>
              </w:rPr>
              <w:t>(</w:t>
            </w:r>
            <w:r w:rsidRPr="00750D69">
              <w:rPr>
                <w:rFonts w:ascii="Tahoma" w:hAnsi="Tahoma" w:cs="Tahoma"/>
                <w:sz w:val="14"/>
                <w:szCs w:val="14"/>
                <w:lang w:eastAsia="sl-SI"/>
              </w:rPr>
              <w:t>IV. – V</w:t>
            </w:r>
            <w:r w:rsidRPr="00750D69">
              <w:rPr>
                <w:rFonts w:ascii="Tahoma" w:hAnsi="Tahoma" w:cs="Tahoma"/>
                <w:sz w:val="16"/>
                <w:szCs w:val="16"/>
                <w:lang w:eastAsia="sl-SI"/>
              </w:rPr>
              <w:t>)</w:t>
            </w:r>
            <w:r w:rsidRPr="00750D69">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14:paraId="5B0F342A" w14:textId="7E833D7F" w:rsidR="002760C8" w:rsidRPr="00094117" w:rsidRDefault="00B633EF"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0</w:t>
            </w:r>
          </w:p>
        </w:tc>
      </w:tr>
      <w:tr w:rsidR="00D44AC3" w:rsidRPr="00750D69" w14:paraId="26EE7B48" w14:textId="77777777" w:rsidTr="008B3FD8">
        <w:trPr>
          <w:trHeight w:val="255"/>
        </w:trPr>
        <w:tc>
          <w:tcPr>
            <w:tcW w:w="919" w:type="dxa"/>
            <w:tcBorders>
              <w:top w:val="nil"/>
              <w:left w:val="nil"/>
              <w:bottom w:val="nil"/>
              <w:right w:val="nil"/>
            </w:tcBorders>
            <w:shd w:val="clear" w:color="auto" w:fill="auto"/>
            <w:noWrap/>
            <w:vAlign w:val="bottom"/>
          </w:tcPr>
          <w:p w14:paraId="50494E0D" w14:textId="77777777" w:rsidR="009D166E" w:rsidRPr="00750D69"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14:paraId="27442303" w14:textId="77777777" w:rsidR="009D166E" w:rsidRPr="00750D69" w:rsidRDefault="009D166E" w:rsidP="008B3FD8">
            <w:pPr>
              <w:jc w:val="left"/>
              <w:rPr>
                <w:rFonts w:ascii="Tahoma" w:hAnsi="Tahoma" w:cs="Tahoma"/>
                <w:b/>
                <w:sz w:val="20"/>
                <w:szCs w:val="20"/>
                <w:lang w:eastAsia="sl-SI"/>
              </w:rPr>
            </w:pPr>
            <w:r w:rsidRPr="00750D69">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14:paraId="7BFFFF34" w14:textId="77777777" w:rsidR="009D166E" w:rsidRPr="00094117" w:rsidRDefault="009D166E" w:rsidP="008B3FD8">
            <w:pPr>
              <w:jc w:val="left"/>
              <w:rPr>
                <w:rFonts w:ascii="Tahoma" w:hAnsi="Tahoma" w:cs="Tahoma"/>
                <w:b/>
                <w:sz w:val="20"/>
                <w:szCs w:val="20"/>
                <w:lang w:eastAsia="sl-SI"/>
              </w:rPr>
            </w:pPr>
          </w:p>
        </w:tc>
      </w:tr>
      <w:tr w:rsidR="00094117" w:rsidRPr="00094117" w14:paraId="6F5DAFA5" w14:textId="77777777" w:rsidTr="008B3FD8">
        <w:trPr>
          <w:trHeight w:val="270"/>
        </w:trPr>
        <w:tc>
          <w:tcPr>
            <w:tcW w:w="7675" w:type="dxa"/>
            <w:gridSpan w:val="2"/>
            <w:tcBorders>
              <w:top w:val="nil"/>
              <w:left w:val="nil"/>
              <w:bottom w:val="nil"/>
              <w:right w:val="nil"/>
            </w:tcBorders>
            <w:shd w:val="clear" w:color="auto" w:fill="auto"/>
            <w:vAlign w:val="bottom"/>
          </w:tcPr>
          <w:p w14:paraId="25FC49B5"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 ZADOLŽEVANJE </w:t>
            </w:r>
            <w:r w:rsidRPr="00094117">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14:paraId="5AA46258" w14:textId="0C54257F" w:rsidR="009D166E" w:rsidRPr="00094117" w:rsidRDefault="00B633EF" w:rsidP="00991294">
            <w:pPr>
              <w:jc w:val="right"/>
              <w:outlineLvl w:val="0"/>
              <w:rPr>
                <w:rFonts w:ascii="Tahoma" w:hAnsi="Tahoma" w:cs="Tahoma"/>
                <w:sz w:val="20"/>
                <w:szCs w:val="20"/>
                <w:u w:val="single"/>
                <w:lang w:eastAsia="sl-SI"/>
              </w:rPr>
            </w:pPr>
            <w:r>
              <w:rPr>
                <w:rFonts w:ascii="Tahoma" w:hAnsi="Tahoma" w:cs="Tahoma"/>
                <w:sz w:val="20"/>
                <w:szCs w:val="20"/>
                <w:u w:val="single"/>
                <w:lang w:eastAsia="sl-SI"/>
              </w:rPr>
              <w:t>380.000</w:t>
            </w:r>
          </w:p>
        </w:tc>
      </w:tr>
      <w:tr w:rsidR="00094117" w:rsidRPr="00094117" w14:paraId="19571FDE" w14:textId="77777777" w:rsidTr="008B3FD8">
        <w:trPr>
          <w:trHeight w:val="255"/>
        </w:trPr>
        <w:tc>
          <w:tcPr>
            <w:tcW w:w="919" w:type="dxa"/>
            <w:tcBorders>
              <w:top w:val="nil"/>
              <w:left w:val="nil"/>
              <w:bottom w:val="nil"/>
              <w:right w:val="nil"/>
            </w:tcBorders>
            <w:shd w:val="clear" w:color="auto" w:fill="auto"/>
            <w:noWrap/>
            <w:vAlign w:val="bottom"/>
          </w:tcPr>
          <w:p w14:paraId="7828396F"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14:paraId="3A30582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14:paraId="6BB1A6C1" w14:textId="5EB599C8" w:rsidR="009D166E" w:rsidRPr="00094117" w:rsidRDefault="00B633EF" w:rsidP="00991294">
            <w:pPr>
              <w:jc w:val="right"/>
              <w:outlineLvl w:val="2"/>
              <w:rPr>
                <w:rFonts w:ascii="Tahoma" w:hAnsi="Tahoma" w:cs="Tahoma"/>
                <w:sz w:val="18"/>
                <w:szCs w:val="18"/>
                <w:u w:val="single"/>
                <w:lang w:eastAsia="sl-SI"/>
              </w:rPr>
            </w:pPr>
            <w:r>
              <w:rPr>
                <w:rFonts w:ascii="Tahoma" w:hAnsi="Tahoma" w:cs="Tahoma"/>
                <w:sz w:val="18"/>
                <w:szCs w:val="18"/>
                <w:u w:val="single"/>
                <w:lang w:eastAsia="sl-SI"/>
              </w:rPr>
              <w:t>380.000</w:t>
            </w:r>
          </w:p>
        </w:tc>
      </w:tr>
      <w:tr w:rsidR="00094117" w:rsidRPr="00094117" w14:paraId="567128FA" w14:textId="77777777" w:rsidTr="008B3FD8">
        <w:trPr>
          <w:trHeight w:val="255"/>
        </w:trPr>
        <w:tc>
          <w:tcPr>
            <w:tcW w:w="919" w:type="dxa"/>
            <w:tcBorders>
              <w:top w:val="nil"/>
              <w:left w:val="nil"/>
              <w:bottom w:val="nil"/>
              <w:right w:val="nil"/>
            </w:tcBorders>
            <w:shd w:val="clear" w:color="auto" w:fill="auto"/>
            <w:noWrap/>
            <w:vAlign w:val="bottom"/>
          </w:tcPr>
          <w:p w14:paraId="3E6E54E6"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14:paraId="29BBDFCF"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14:paraId="2785E364" w14:textId="65EFB635" w:rsidR="009D166E" w:rsidRPr="00094117" w:rsidRDefault="00B633EF" w:rsidP="00CB6681">
            <w:pPr>
              <w:jc w:val="right"/>
              <w:outlineLvl w:val="3"/>
              <w:rPr>
                <w:rFonts w:ascii="Tahoma" w:hAnsi="Tahoma" w:cs="Tahoma"/>
                <w:sz w:val="18"/>
                <w:szCs w:val="18"/>
                <w:lang w:eastAsia="sl-SI"/>
              </w:rPr>
            </w:pPr>
            <w:r>
              <w:rPr>
                <w:rFonts w:ascii="Tahoma" w:hAnsi="Tahoma" w:cs="Tahoma"/>
                <w:sz w:val="18"/>
                <w:szCs w:val="18"/>
                <w:lang w:eastAsia="sl-SI"/>
              </w:rPr>
              <w:t>380.000</w:t>
            </w:r>
          </w:p>
        </w:tc>
      </w:tr>
      <w:tr w:rsidR="00094117" w:rsidRPr="00094117" w14:paraId="70230380" w14:textId="77777777" w:rsidTr="008B3FD8">
        <w:trPr>
          <w:trHeight w:val="270"/>
        </w:trPr>
        <w:tc>
          <w:tcPr>
            <w:tcW w:w="7675" w:type="dxa"/>
            <w:gridSpan w:val="2"/>
            <w:tcBorders>
              <w:top w:val="nil"/>
              <w:left w:val="nil"/>
              <w:bottom w:val="nil"/>
              <w:right w:val="nil"/>
            </w:tcBorders>
            <w:shd w:val="clear" w:color="auto" w:fill="auto"/>
            <w:vAlign w:val="bottom"/>
          </w:tcPr>
          <w:p w14:paraId="4E3DDAC2" w14:textId="77777777" w:rsidR="009D166E" w:rsidRPr="00094117" w:rsidRDefault="009D166E" w:rsidP="008B3FD8">
            <w:pPr>
              <w:jc w:val="left"/>
              <w:outlineLvl w:val="0"/>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 xml:space="preserve">VIII. ODPLAČILO DOLGA </w:t>
            </w:r>
            <w:r w:rsidRPr="00094117">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14:paraId="35FE1972" w14:textId="30CEAE0F" w:rsidR="009D166E" w:rsidRPr="00094117" w:rsidRDefault="00B633EF"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25.828</w:t>
            </w:r>
          </w:p>
        </w:tc>
      </w:tr>
      <w:tr w:rsidR="00094117" w:rsidRPr="00094117" w14:paraId="41F88513" w14:textId="77777777" w:rsidTr="008B3FD8">
        <w:trPr>
          <w:trHeight w:val="255"/>
        </w:trPr>
        <w:tc>
          <w:tcPr>
            <w:tcW w:w="919" w:type="dxa"/>
            <w:tcBorders>
              <w:top w:val="nil"/>
              <w:left w:val="nil"/>
              <w:bottom w:val="nil"/>
              <w:right w:val="nil"/>
            </w:tcBorders>
            <w:shd w:val="clear" w:color="auto" w:fill="auto"/>
            <w:noWrap/>
            <w:vAlign w:val="bottom"/>
          </w:tcPr>
          <w:p w14:paraId="0A4A4495" w14:textId="77777777" w:rsidR="009D166E" w:rsidRPr="00094117" w:rsidRDefault="009D166E" w:rsidP="008B3FD8">
            <w:pPr>
              <w:jc w:val="right"/>
              <w:outlineLvl w:val="2"/>
              <w:rPr>
                <w:rFonts w:ascii="Tahoma" w:hAnsi="Tahoma" w:cs="Tahoma"/>
                <w:sz w:val="18"/>
                <w:szCs w:val="18"/>
                <w:u w:val="single"/>
                <w:lang w:eastAsia="sl-SI"/>
              </w:rPr>
            </w:pPr>
            <w:r w:rsidRPr="00094117">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14:paraId="5E35BE00" w14:textId="77777777" w:rsidR="009D166E" w:rsidRPr="00094117" w:rsidRDefault="009D166E" w:rsidP="008B3FD8">
            <w:pPr>
              <w:jc w:val="left"/>
              <w:outlineLvl w:val="2"/>
              <w:rPr>
                <w:rFonts w:ascii="Tahoma" w:hAnsi="Tahoma" w:cs="Tahoma"/>
                <w:sz w:val="18"/>
                <w:szCs w:val="18"/>
                <w:u w:val="single"/>
                <w:lang w:eastAsia="sl-SI"/>
              </w:rPr>
            </w:pPr>
            <w:r w:rsidRPr="00094117">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14:paraId="4EC6F6D7" w14:textId="7C3425B4" w:rsidR="009D166E" w:rsidRPr="00094117" w:rsidRDefault="00B633EF"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25.828</w:t>
            </w:r>
          </w:p>
        </w:tc>
      </w:tr>
      <w:tr w:rsidR="00094117" w:rsidRPr="00094117" w14:paraId="65A22F32" w14:textId="77777777" w:rsidTr="008B3FD8">
        <w:trPr>
          <w:trHeight w:val="255"/>
        </w:trPr>
        <w:tc>
          <w:tcPr>
            <w:tcW w:w="919" w:type="dxa"/>
            <w:tcBorders>
              <w:top w:val="nil"/>
              <w:left w:val="nil"/>
              <w:bottom w:val="nil"/>
              <w:right w:val="nil"/>
            </w:tcBorders>
            <w:shd w:val="clear" w:color="auto" w:fill="auto"/>
            <w:noWrap/>
            <w:vAlign w:val="bottom"/>
          </w:tcPr>
          <w:p w14:paraId="7616041D" w14:textId="77777777" w:rsidR="009D166E" w:rsidRPr="00094117" w:rsidRDefault="009D166E" w:rsidP="008B3FD8">
            <w:pPr>
              <w:jc w:val="right"/>
              <w:outlineLvl w:val="3"/>
              <w:rPr>
                <w:rFonts w:ascii="Tahoma" w:hAnsi="Tahoma" w:cs="Tahoma"/>
                <w:sz w:val="18"/>
                <w:szCs w:val="18"/>
                <w:lang w:eastAsia="sl-SI"/>
              </w:rPr>
            </w:pPr>
            <w:r w:rsidRPr="00094117">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14:paraId="45A8C10C" w14:textId="77777777" w:rsidR="009D166E" w:rsidRPr="00094117" w:rsidRDefault="009D166E" w:rsidP="008B3FD8">
            <w:pPr>
              <w:jc w:val="left"/>
              <w:outlineLvl w:val="3"/>
              <w:rPr>
                <w:rFonts w:ascii="Tahoma" w:hAnsi="Tahoma" w:cs="Tahoma"/>
                <w:sz w:val="18"/>
                <w:szCs w:val="18"/>
                <w:lang w:eastAsia="sl-SI"/>
              </w:rPr>
            </w:pPr>
            <w:r w:rsidRPr="00094117">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14:paraId="7602D494" w14:textId="0B581475" w:rsidR="009D166E" w:rsidRPr="00094117" w:rsidRDefault="00B633EF" w:rsidP="008B3FD8">
            <w:pPr>
              <w:jc w:val="right"/>
              <w:outlineLvl w:val="3"/>
              <w:rPr>
                <w:rFonts w:ascii="Tahoma" w:hAnsi="Tahoma" w:cs="Tahoma"/>
                <w:sz w:val="18"/>
                <w:szCs w:val="18"/>
                <w:lang w:eastAsia="sl-SI"/>
              </w:rPr>
            </w:pPr>
            <w:r>
              <w:rPr>
                <w:rFonts w:ascii="Tahoma" w:hAnsi="Tahoma" w:cs="Tahoma"/>
                <w:sz w:val="18"/>
                <w:szCs w:val="18"/>
                <w:lang w:eastAsia="sl-SI"/>
              </w:rPr>
              <w:t>25.828</w:t>
            </w:r>
          </w:p>
        </w:tc>
      </w:tr>
      <w:tr w:rsidR="00094117" w:rsidRPr="00094117" w14:paraId="3B4F31B9" w14:textId="77777777" w:rsidTr="008B3FD8">
        <w:trPr>
          <w:trHeight w:val="294"/>
        </w:trPr>
        <w:tc>
          <w:tcPr>
            <w:tcW w:w="7675" w:type="dxa"/>
            <w:gridSpan w:val="2"/>
            <w:tcBorders>
              <w:top w:val="nil"/>
              <w:left w:val="nil"/>
              <w:bottom w:val="nil"/>
              <w:right w:val="nil"/>
            </w:tcBorders>
            <w:shd w:val="clear" w:color="auto" w:fill="auto"/>
            <w:vAlign w:val="bottom"/>
          </w:tcPr>
          <w:p w14:paraId="19F96DB4"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IX. SPREMEMBA STANJA SREDSTEV NA RAČUNU</w:t>
            </w:r>
            <w:r w:rsidRPr="00094117">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14:paraId="10F25262" w14:textId="228D31FE"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-583.256</w:t>
            </w:r>
          </w:p>
        </w:tc>
      </w:tr>
      <w:tr w:rsidR="00094117" w:rsidRPr="00094117" w14:paraId="3DE82990" w14:textId="77777777" w:rsidTr="008B3FD8">
        <w:trPr>
          <w:trHeight w:val="345"/>
        </w:trPr>
        <w:tc>
          <w:tcPr>
            <w:tcW w:w="7675" w:type="dxa"/>
            <w:gridSpan w:val="2"/>
            <w:tcBorders>
              <w:top w:val="nil"/>
              <w:left w:val="nil"/>
              <w:bottom w:val="nil"/>
              <w:right w:val="nil"/>
            </w:tcBorders>
            <w:shd w:val="clear" w:color="auto" w:fill="auto"/>
            <w:vAlign w:val="bottom"/>
          </w:tcPr>
          <w:p w14:paraId="683361EB"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 NETO ZADOLŽEVANJE</w:t>
            </w:r>
            <w:r w:rsidRPr="00094117">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14:paraId="16405ACD" w14:textId="2040994C" w:rsidR="009D166E" w:rsidRPr="00094117" w:rsidRDefault="00B633EF"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354.172</w:t>
            </w:r>
          </w:p>
        </w:tc>
      </w:tr>
      <w:tr w:rsidR="00094117" w:rsidRPr="00094117" w14:paraId="759938C6" w14:textId="77777777" w:rsidTr="008B3FD8">
        <w:trPr>
          <w:trHeight w:val="345"/>
        </w:trPr>
        <w:tc>
          <w:tcPr>
            <w:tcW w:w="7675" w:type="dxa"/>
            <w:gridSpan w:val="2"/>
            <w:tcBorders>
              <w:top w:val="nil"/>
              <w:left w:val="nil"/>
              <w:bottom w:val="nil"/>
              <w:right w:val="nil"/>
            </w:tcBorders>
            <w:shd w:val="clear" w:color="auto" w:fill="auto"/>
            <w:vAlign w:val="bottom"/>
          </w:tcPr>
          <w:p w14:paraId="0E8F50E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 NETO FINANCIRANJE</w:t>
            </w:r>
            <w:r w:rsidRPr="00094117">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14:paraId="2B1F94B9" w14:textId="1AD4F2F9" w:rsidR="009D166E" w:rsidRPr="00094117" w:rsidRDefault="00B633EF" w:rsidP="00836302">
            <w:pPr>
              <w:jc w:val="right"/>
              <w:outlineLvl w:val="6"/>
              <w:rPr>
                <w:rFonts w:ascii="Tahoma" w:hAnsi="Tahoma" w:cs="Tahoma"/>
                <w:sz w:val="20"/>
                <w:szCs w:val="20"/>
                <w:u w:val="single"/>
                <w:lang w:eastAsia="sl-SI"/>
              </w:rPr>
            </w:pPr>
            <w:r>
              <w:rPr>
                <w:rFonts w:ascii="Tahoma" w:hAnsi="Tahoma" w:cs="Tahoma"/>
                <w:sz w:val="20"/>
                <w:szCs w:val="20"/>
                <w:u w:val="single"/>
                <w:lang w:eastAsia="sl-SI"/>
              </w:rPr>
              <w:t>937.428</w:t>
            </w:r>
          </w:p>
        </w:tc>
      </w:tr>
      <w:tr w:rsidR="00094117" w:rsidRPr="00094117" w14:paraId="08A87CA9" w14:textId="77777777" w:rsidTr="008B3FD8">
        <w:trPr>
          <w:trHeight w:val="345"/>
        </w:trPr>
        <w:tc>
          <w:tcPr>
            <w:tcW w:w="7675" w:type="dxa"/>
            <w:gridSpan w:val="2"/>
            <w:tcBorders>
              <w:top w:val="nil"/>
              <w:left w:val="nil"/>
              <w:bottom w:val="nil"/>
              <w:right w:val="nil"/>
            </w:tcBorders>
            <w:shd w:val="clear" w:color="auto" w:fill="auto"/>
            <w:vAlign w:val="bottom"/>
          </w:tcPr>
          <w:p w14:paraId="1223ED48" w14:textId="77777777" w:rsidR="009D166E" w:rsidRPr="00094117" w:rsidRDefault="009D166E" w:rsidP="008B3FD8">
            <w:pPr>
              <w:jc w:val="left"/>
              <w:outlineLvl w:val="6"/>
              <w:rPr>
                <w:rFonts w:ascii="Tahoma" w:hAnsi="Tahoma" w:cs="Tahoma"/>
                <w:sz w:val="20"/>
                <w:szCs w:val="20"/>
                <w:u w:val="single"/>
                <w:lang w:eastAsia="sl-SI"/>
              </w:rPr>
            </w:pPr>
            <w:r w:rsidRPr="00094117">
              <w:rPr>
                <w:rFonts w:ascii="Tahoma" w:hAnsi="Tahoma" w:cs="Tahoma"/>
                <w:sz w:val="20"/>
                <w:szCs w:val="20"/>
                <w:lang w:eastAsia="sl-SI"/>
              </w:rPr>
              <w:t> </w:t>
            </w:r>
            <w:r w:rsidRPr="00094117">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14:paraId="0752A59F" w14:textId="78ED5F40" w:rsidR="009D166E" w:rsidRPr="00094117" w:rsidRDefault="00B633EF" w:rsidP="003F6E60">
            <w:pPr>
              <w:jc w:val="right"/>
              <w:outlineLvl w:val="6"/>
              <w:rPr>
                <w:rFonts w:ascii="Tahoma" w:hAnsi="Tahoma" w:cs="Tahoma"/>
                <w:sz w:val="20"/>
                <w:szCs w:val="20"/>
                <w:u w:val="single"/>
                <w:lang w:eastAsia="sl-SI"/>
              </w:rPr>
            </w:pPr>
            <w:r>
              <w:rPr>
                <w:rFonts w:ascii="Tahoma" w:hAnsi="Tahoma" w:cs="Tahoma"/>
                <w:sz w:val="20"/>
                <w:szCs w:val="20"/>
                <w:u w:val="single"/>
                <w:lang w:eastAsia="sl-SI"/>
              </w:rPr>
              <w:t>583.257</w:t>
            </w:r>
          </w:p>
        </w:tc>
      </w:tr>
    </w:tbl>
    <w:p w14:paraId="42C32634" w14:textId="77777777" w:rsidR="005A027F" w:rsidRPr="00094117"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14:paraId="539D655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14:paraId="5844B8C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F70A64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14:paraId="7FA77CF4" w14:textId="2A0B298C" w:rsidR="00094117"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14:paraId="09459B82" w14:textId="77777777" w:rsidR="00094117" w:rsidRDefault="00094117">
      <w:pPr>
        <w:jc w:val="left"/>
        <w:rPr>
          <w:rFonts w:ascii="Tahoma" w:hAnsi="Tahoma" w:cs="Tahoma"/>
          <w:sz w:val="20"/>
          <w:szCs w:val="20"/>
        </w:rPr>
      </w:pPr>
      <w:r>
        <w:rPr>
          <w:rFonts w:ascii="Tahoma" w:hAnsi="Tahoma" w:cs="Tahoma"/>
          <w:sz w:val="20"/>
        </w:rPr>
        <w:br w:type="page"/>
      </w:r>
    </w:p>
    <w:p w14:paraId="3F1BD6C5" w14:textId="77777777" w:rsidR="008B24B8" w:rsidRDefault="008B24B8" w:rsidP="0012721A">
      <w:pPr>
        <w:pStyle w:val="Telobesedila"/>
        <w:tabs>
          <w:tab w:val="clear" w:pos="-1440"/>
          <w:tab w:val="left" w:pos="-1080"/>
          <w:tab w:val="left" w:pos="-720"/>
          <w:tab w:val="left" w:pos="0"/>
          <w:tab w:val="left" w:pos="810"/>
          <w:tab w:val="left" w:pos="1080"/>
        </w:tabs>
        <w:rPr>
          <w:rFonts w:ascii="Tahoma" w:hAnsi="Tahoma" w:cs="Tahoma"/>
          <w:sz w:val="20"/>
        </w:rPr>
      </w:pPr>
    </w:p>
    <w:p w14:paraId="57719F51" w14:textId="77777777"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 xml:space="preserve">3. </w:t>
      </w:r>
      <w:r w:rsidR="0012721A" w:rsidRPr="00C37DCC">
        <w:rPr>
          <w:rFonts w:ascii="Tahoma" w:hAnsi="Tahoma" w:cs="Tahoma"/>
          <w:b/>
          <w:sz w:val="20"/>
        </w:rPr>
        <w:t>POSTOPKI IZVRŠEVANJA PRORAČUNA</w:t>
      </w:r>
    </w:p>
    <w:p w14:paraId="3CF9B7E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530FD0D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14:paraId="20CC6283"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14:paraId="5BEC0638" w14:textId="77777777"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14:paraId="08B768E4"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14:paraId="7F3F9E6F" w14:textId="77777777"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14:paraId="46ADFD96" w14:textId="77777777"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14:paraId="1BE647AD" w14:textId="77777777" w:rsidR="00332CDB" w:rsidRDefault="00332CDB" w:rsidP="00332CDB">
      <w:pPr>
        <w:rPr>
          <w:rFonts w:ascii="Tahoma" w:hAnsi="Tahoma" w:cs="Tahoma"/>
          <w:sz w:val="20"/>
          <w:szCs w:val="20"/>
        </w:rPr>
      </w:pPr>
    </w:p>
    <w:p w14:paraId="6C5865B4" w14:textId="77777777"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14:paraId="16428A87" w14:textId="77777777"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14:paraId="11C91252"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69D08CE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14:paraId="00B9A3AE"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97739B">
        <w:rPr>
          <w:rFonts w:ascii="Tahoma" w:hAnsi="Tahoma" w:cs="Tahoma"/>
          <w:sz w:val="20"/>
        </w:rPr>
        <w:t>(namenski prihodki in odhodki proračuna)</w:t>
      </w:r>
    </w:p>
    <w:p w14:paraId="6CC8FB10" w14:textId="77777777" w:rsidR="0012721A" w:rsidRPr="0097739B"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75547F22" w14:textId="77777777" w:rsidR="00EB4388" w:rsidRPr="0097739B" w:rsidRDefault="00EB4388" w:rsidP="00EB4388">
      <w:pPr>
        <w:pStyle w:val="Telobesedila"/>
        <w:tabs>
          <w:tab w:val="clear" w:pos="-1440"/>
          <w:tab w:val="left" w:pos="-1080"/>
          <w:tab w:val="left" w:pos="-720"/>
          <w:tab w:val="left" w:pos="0"/>
          <w:tab w:val="left" w:pos="810"/>
          <w:tab w:val="left" w:pos="1080"/>
        </w:tabs>
        <w:rPr>
          <w:rFonts w:ascii="Tahoma" w:hAnsi="Tahoma" w:cs="Tahoma"/>
          <w:sz w:val="20"/>
        </w:rPr>
      </w:pPr>
      <w:r w:rsidRPr="0097739B">
        <w:rPr>
          <w:rFonts w:ascii="Tahoma" w:hAnsi="Tahoma" w:cs="Tahoma"/>
          <w:sz w:val="20"/>
        </w:rPr>
        <w:t>Namenski prihodki proračuna so poleg prihodkov, določenih v 1. odstavku 43. člena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kupnin od prodaje kapitalskih deležev (74. člen ZJF) in kupnin od prodaje premoženja in najemnin od oddaje stvarnega premoženja (80. člen ZJF), tudi prihodki od:</w:t>
      </w:r>
    </w:p>
    <w:p w14:paraId="459E3D81" w14:textId="77777777" w:rsidR="00EB4388" w:rsidRPr="00DF5945" w:rsidRDefault="00EB4388" w:rsidP="00EB4388">
      <w:pPr>
        <w:numPr>
          <w:ilvl w:val="0"/>
          <w:numId w:val="3"/>
        </w:numPr>
        <w:rPr>
          <w:rFonts w:ascii="Tahoma" w:hAnsi="Tahoma" w:cs="Tahoma"/>
          <w:sz w:val="20"/>
          <w:szCs w:val="20"/>
          <w:lang w:eastAsia="sl-SI"/>
        </w:rPr>
      </w:pPr>
      <w:r w:rsidRPr="00DF5945">
        <w:rPr>
          <w:rFonts w:ascii="Tahoma" w:hAnsi="Tahoma" w:cs="Tahoma"/>
          <w:sz w:val="20"/>
          <w:szCs w:val="20"/>
          <w:lang w:eastAsia="sl-SI"/>
        </w:rPr>
        <w:t>turistične takse, ki se namenijo za spodbujanje razvoja turizma</w:t>
      </w:r>
      <w:r w:rsidR="00E533E5" w:rsidRPr="00DF5945">
        <w:rPr>
          <w:rFonts w:ascii="Tahoma" w:hAnsi="Tahoma" w:cs="Tahoma"/>
          <w:sz w:val="20"/>
          <w:szCs w:val="20"/>
          <w:lang w:eastAsia="sl-SI"/>
        </w:rPr>
        <w:t xml:space="preserve"> </w:t>
      </w:r>
      <w:r w:rsidR="00D17431" w:rsidRPr="00DF5945">
        <w:rPr>
          <w:rFonts w:ascii="Tahoma" w:hAnsi="Tahoma" w:cs="Tahoma"/>
          <w:sz w:val="20"/>
          <w:szCs w:val="20"/>
          <w:lang w:eastAsia="sl-SI"/>
        </w:rPr>
        <w:t xml:space="preserve">(14. </w:t>
      </w:r>
      <w:r w:rsidR="00DF5945" w:rsidRPr="00DF5945">
        <w:rPr>
          <w:rFonts w:ascii="Tahoma" w:hAnsi="Tahoma" w:cs="Tahoma"/>
          <w:sz w:val="20"/>
          <w:szCs w:val="20"/>
          <w:lang w:eastAsia="sl-SI"/>
        </w:rPr>
        <w:t>č</w:t>
      </w:r>
      <w:r w:rsidR="00D17431" w:rsidRPr="00DF5945">
        <w:rPr>
          <w:rFonts w:ascii="Tahoma" w:hAnsi="Tahoma" w:cs="Tahoma"/>
          <w:sz w:val="20"/>
          <w:szCs w:val="20"/>
          <w:lang w:eastAsia="sl-SI"/>
        </w:rPr>
        <w:t>len ZSRT</w:t>
      </w:r>
      <w:r w:rsidR="00DF5945" w:rsidRPr="00DF5945">
        <w:rPr>
          <w:rFonts w:ascii="Tahoma" w:hAnsi="Tahoma" w:cs="Tahoma"/>
          <w:sz w:val="20"/>
          <w:szCs w:val="20"/>
          <w:lang w:eastAsia="sl-SI"/>
        </w:rPr>
        <w:t>)</w:t>
      </w:r>
      <w:r w:rsidRPr="00DF5945">
        <w:rPr>
          <w:rFonts w:ascii="Tahoma" w:hAnsi="Tahoma" w:cs="Tahoma"/>
          <w:sz w:val="20"/>
          <w:szCs w:val="20"/>
          <w:lang w:eastAsia="sl-SI"/>
        </w:rPr>
        <w:t>,</w:t>
      </w:r>
    </w:p>
    <w:p w14:paraId="62AA44F8"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koncesijske dajatve od iger na srečo, ki se namenijo za ureditev prebivalcem prijaznejšega okolja in za turistično infrastrukturo</w:t>
      </w:r>
      <w:r w:rsidR="00663E5B" w:rsidRPr="00663E5B">
        <w:rPr>
          <w:rFonts w:ascii="Tahoma" w:hAnsi="Tahoma" w:cs="Tahoma"/>
          <w:sz w:val="20"/>
          <w:szCs w:val="20"/>
          <w:lang w:eastAsia="sl-SI"/>
        </w:rPr>
        <w:t xml:space="preserve"> (74. člen ZIS)</w:t>
      </w:r>
      <w:r w:rsidRPr="00663E5B">
        <w:rPr>
          <w:rFonts w:ascii="Tahoma" w:hAnsi="Tahoma" w:cs="Tahoma"/>
          <w:sz w:val="20"/>
          <w:szCs w:val="20"/>
          <w:lang w:eastAsia="sl-SI"/>
        </w:rPr>
        <w:t>,</w:t>
      </w:r>
    </w:p>
    <w:p w14:paraId="3924C665" w14:textId="77777777" w:rsidR="00EB4388" w:rsidRPr="00663E5B" w:rsidRDefault="00EB4388" w:rsidP="00EB4388">
      <w:pPr>
        <w:numPr>
          <w:ilvl w:val="0"/>
          <w:numId w:val="3"/>
        </w:numPr>
        <w:rPr>
          <w:rFonts w:ascii="Tahoma" w:hAnsi="Tahoma" w:cs="Tahoma"/>
          <w:sz w:val="20"/>
          <w:szCs w:val="20"/>
          <w:lang w:eastAsia="sl-SI"/>
        </w:rPr>
      </w:pPr>
      <w:r w:rsidRPr="00663E5B">
        <w:rPr>
          <w:rFonts w:ascii="Tahoma" w:hAnsi="Tahoma" w:cs="Tahoma"/>
          <w:sz w:val="20"/>
          <w:szCs w:val="20"/>
          <w:lang w:eastAsia="sl-SI"/>
        </w:rPr>
        <w:t>pristojbine za vzdrževanje gozdnih cest, ki se namenijo za vzdrževanje gozdnih cest</w:t>
      </w:r>
      <w:r w:rsidR="00663E5B" w:rsidRPr="00663E5B">
        <w:rPr>
          <w:rFonts w:ascii="Tahoma" w:hAnsi="Tahoma" w:cs="Tahoma"/>
          <w:sz w:val="20"/>
          <w:szCs w:val="20"/>
          <w:lang w:eastAsia="sl-SI"/>
        </w:rPr>
        <w:t xml:space="preserve"> (5. člen uredbe)</w:t>
      </w:r>
      <w:r w:rsidRPr="00663E5B">
        <w:rPr>
          <w:rFonts w:ascii="Tahoma" w:hAnsi="Tahoma" w:cs="Tahoma"/>
          <w:sz w:val="20"/>
          <w:szCs w:val="20"/>
          <w:lang w:eastAsia="sl-SI"/>
        </w:rPr>
        <w:t>,</w:t>
      </w:r>
    </w:p>
    <w:p w14:paraId="52DBE489" w14:textId="77777777" w:rsidR="00EB4388" w:rsidRPr="00A70714" w:rsidRDefault="00EB4388" w:rsidP="00A70714">
      <w:pPr>
        <w:numPr>
          <w:ilvl w:val="0"/>
          <w:numId w:val="3"/>
        </w:numPr>
        <w:rPr>
          <w:rFonts w:ascii="Tahoma" w:hAnsi="Tahoma" w:cs="Tahoma"/>
          <w:sz w:val="20"/>
          <w:szCs w:val="20"/>
          <w:lang w:eastAsia="sl-SI"/>
        </w:rPr>
      </w:pPr>
      <w:r w:rsidRPr="00A70714">
        <w:rPr>
          <w:rFonts w:ascii="Tahoma" w:hAnsi="Tahoma" w:cs="Tahoma"/>
          <w:sz w:val="20"/>
          <w:szCs w:val="20"/>
          <w:lang w:eastAsia="sl-SI"/>
        </w:rPr>
        <w:t>požarne takse, ki se namenijo za opremljanje gasilskih enot z gasilsko reševalno in osebno zaščitno opremo</w:t>
      </w:r>
      <w:r w:rsidR="00A70714" w:rsidRPr="00A70714">
        <w:rPr>
          <w:rFonts w:ascii="Tahoma" w:hAnsi="Tahoma" w:cs="Tahoma"/>
          <w:sz w:val="20"/>
          <w:szCs w:val="20"/>
          <w:lang w:eastAsia="sl-SI"/>
        </w:rPr>
        <w:t xml:space="preserve"> 58. člen ZVPoz)</w:t>
      </w:r>
      <w:r w:rsidRPr="00A70714">
        <w:rPr>
          <w:rFonts w:ascii="Tahoma" w:hAnsi="Tahoma" w:cs="Tahoma"/>
          <w:sz w:val="20"/>
          <w:szCs w:val="20"/>
          <w:lang w:eastAsia="sl-SI"/>
        </w:rPr>
        <w:t>,</w:t>
      </w:r>
    </w:p>
    <w:p w14:paraId="58DB3F6C" w14:textId="77777777" w:rsidR="00EB4388" w:rsidRPr="0097739B" w:rsidRDefault="00EB4388" w:rsidP="00EB4388">
      <w:pPr>
        <w:numPr>
          <w:ilvl w:val="0"/>
          <w:numId w:val="3"/>
        </w:numPr>
        <w:rPr>
          <w:rFonts w:ascii="Tahoma" w:hAnsi="Tahoma" w:cs="Tahoma"/>
          <w:sz w:val="20"/>
          <w:szCs w:val="20"/>
          <w:lang w:eastAsia="sl-SI"/>
        </w:rPr>
      </w:pPr>
      <w:r w:rsidRPr="0097739B">
        <w:rPr>
          <w:rFonts w:ascii="Tahoma" w:hAnsi="Tahoma" w:cs="Tahoma"/>
          <w:sz w:val="20"/>
          <w:szCs w:val="20"/>
          <w:lang w:eastAsia="sl-SI"/>
        </w:rPr>
        <w:t>komunalni prispevek, ki se nameni za izgradnjo komunalne infrastrukture</w:t>
      </w:r>
      <w:r w:rsidR="0097739B">
        <w:rPr>
          <w:rFonts w:ascii="Tahoma" w:hAnsi="Tahoma" w:cs="Tahoma"/>
          <w:sz w:val="20"/>
          <w:szCs w:val="20"/>
          <w:lang w:eastAsia="sl-SI"/>
        </w:rPr>
        <w:t xml:space="preserve"> (</w:t>
      </w:r>
      <w:r w:rsidR="009C7BEF">
        <w:rPr>
          <w:rFonts w:ascii="Tahoma" w:hAnsi="Tahoma" w:cs="Tahoma"/>
          <w:sz w:val="20"/>
          <w:szCs w:val="20"/>
          <w:lang w:eastAsia="sl-SI"/>
        </w:rPr>
        <w:t>229</w:t>
      </w:r>
      <w:r w:rsidR="0097739B">
        <w:rPr>
          <w:rFonts w:ascii="Tahoma" w:hAnsi="Tahoma" w:cs="Tahoma"/>
          <w:sz w:val="20"/>
          <w:szCs w:val="20"/>
          <w:lang w:eastAsia="sl-SI"/>
        </w:rPr>
        <w:t xml:space="preserve">. člen </w:t>
      </w:r>
      <w:r w:rsidR="009C7BEF">
        <w:rPr>
          <w:rFonts w:ascii="Tahoma" w:hAnsi="Tahoma" w:cs="Tahoma"/>
          <w:sz w:val="20"/>
          <w:szCs w:val="20"/>
          <w:lang w:eastAsia="sl-SI"/>
        </w:rPr>
        <w:t>ZUre</w:t>
      </w:r>
      <w:r w:rsidR="00267C71">
        <w:rPr>
          <w:rFonts w:ascii="Tahoma" w:hAnsi="Tahoma" w:cs="Tahoma"/>
          <w:sz w:val="20"/>
          <w:szCs w:val="20"/>
          <w:lang w:eastAsia="sl-SI"/>
        </w:rPr>
        <w:t>P</w:t>
      </w:r>
      <w:r w:rsidR="009C7BEF">
        <w:rPr>
          <w:rFonts w:ascii="Tahoma" w:hAnsi="Tahoma" w:cs="Tahoma"/>
          <w:sz w:val="20"/>
          <w:szCs w:val="20"/>
          <w:lang w:eastAsia="sl-SI"/>
        </w:rPr>
        <w:t>-2)</w:t>
      </w:r>
      <w:r w:rsidRPr="0097739B">
        <w:rPr>
          <w:rFonts w:ascii="Tahoma" w:hAnsi="Tahoma" w:cs="Tahoma"/>
          <w:sz w:val="20"/>
          <w:szCs w:val="20"/>
          <w:lang w:eastAsia="sl-SI"/>
        </w:rPr>
        <w:t>,</w:t>
      </w:r>
    </w:p>
    <w:p w14:paraId="6E1D0266" w14:textId="77777777" w:rsidR="00EB4388" w:rsidRPr="00291D9C" w:rsidRDefault="00EB4388" w:rsidP="00DF5945">
      <w:pPr>
        <w:numPr>
          <w:ilvl w:val="0"/>
          <w:numId w:val="3"/>
        </w:numPr>
        <w:rPr>
          <w:rFonts w:ascii="Tahoma" w:hAnsi="Tahoma" w:cs="Tahoma"/>
          <w:sz w:val="20"/>
          <w:szCs w:val="20"/>
          <w:lang w:eastAsia="sl-SI"/>
        </w:rPr>
      </w:pPr>
      <w:r w:rsidRPr="00291D9C">
        <w:rPr>
          <w:rFonts w:ascii="Tahoma" w:hAnsi="Tahoma" w:cs="Tahoma"/>
          <w:sz w:val="20"/>
          <w:szCs w:val="20"/>
          <w:lang w:eastAsia="sl-SI"/>
        </w:rPr>
        <w:t>koncesijska dajatev za trajnostno gospodarjenje z divjadjo, ki se nameni za izvajanje ukrepov varstva in vlaganj v naravne vire</w:t>
      </w:r>
      <w:r w:rsidR="00DF5945" w:rsidRPr="00291D9C">
        <w:rPr>
          <w:rFonts w:ascii="Tahoma" w:hAnsi="Tahoma" w:cs="Tahoma"/>
          <w:sz w:val="20"/>
          <w:szCs w:val="20"/>
          <w:lang w:eastAsia="sl-SI"/>
        </w:rPr>
        <w:t xml:space="preserve"> (29. člen ZDLov-1</w:t>
      </w:r>
      <w:r w:rsidR="00291D9C">
        <w:rPr>
          <w:rFonts w:ascii="Tahoma" w:hAnsi="Tahoma" w:cs="Tahoma"/>
          <w:sz w:val="20"/>
          <w:szCs w:val="20"/>
          <w:lang w:eastAsia="sl-SI"/>
        </w:rPr>
        <w:t>)</w:t>
      </w:r>
      <w:r w:rsidRPr="00291D9C">
        <w:rPr>
          <w:rFonts w:ascii="Tahoma" w:hAnsi="Tahoma" w:cs="Tahoma"/>
          <w:sz w:val="20"/>
          <w:szCs w:val="20"/>
          <w:lang w:eastAsia="sl-SI"/>
        </w:rPr>
        <w:t>,</w:t>
      </w:r>
    </w:p>
    <w:p w14:paraId="69F20008" w14:textId="77777777" w:rsidR="00EB4388" w:rsidRDefault="00EB4388" w:rsidP="00DF5945">
      <w:pPr>
        <w:numPr>
          <w:ilvl w:val="0"/>
          <w:numId w:val="3"/>
        </w:numPr>
        <w:rPr>
          <w:rFonts w:ascii="Tahoma" w:hAnsi="Tahoma" w:cs="Tahoma"/>
          <w:sz w:val="20"/>
          <w:szCs w:val="20"/>
          <w:lang w:eastAsia="sl-SI"/>
        </w:rPr>
      </w:pPr>
      <w:r w:rsidRPr="00DF5945">
        <w:rPr>
          <w:rFonts w:ascii="Tahoma" w:hAnsi="Tahoma" w:cs="Tahoma"/>
          <w:sz w:val="20"/>
          <w:szCs w:val="20"/>
          <w:lang w:eastAsia="sl-SI"/>
        </w:rPr>
        <w:t>del koncesijske dajatve od izkoriščanja gozdov, ki pripada občini, glede na realiziran posek lesa v državnih gozdovih na njenem območju, ki se nameni za vzdrževanje gozdnih cest</w:t>
      </w:r>
      <w:r w:rsidR="00DF5945" w:rsidRPr="00DF5945">
        <w:rPr>
          <w:rFonts w:ascii="Tahoma" w:hAnsi="Tahoma" w:cs="Tahoma"/>
          <w:sz w:val="20"/>
          <w:szCs w:val="20"/>
          <w:lang w:eastAsia="sl-SI"/>
        </w:rPr>
        <w:t xml:space="preserve"> (10a člen ZSKZ-UPB2)</w:t>
      </w:r>
      <w:r w:rsidR="00A70714">
        <w:rPr>
          <w:rFonts w:ascii="Tahoma" w:hAnsi="Tahoma" w:cs="Tahoma"/>
          <w:sz w:val="20"/>
          <w:szCs w:val="20"/>
          <w:lang w:eastAsia="sl-SI"/>
        </w:rPr>
        <w:t>.</w:t>
      </w:r>
    </w:p>
    <w:p w14:paraId="03F83237" w14:textId="77777777" w:rsidR="00A70714" w:rsidRPr="00DF5945" w:rsidRDefault="00A70714" w:rsidP="00A70714">
      <w:pPr>
        <w:ind w:left="720"/>
        <w:rPr>
          <w:rFonts w:ascii="Tahoma" w:hAnsi="Tahoma" w:cs="Tahoma"/>
          <w:sz w:val="20"/>
          <w:szCs w:val="20"/>
          <w:lang w:eastAsia="sl-SI"/>
        </w:rPr>
      </w:pPr>
    </w:p>
    <w:p w14:paraId="63AB0C65"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14:paraId="3407632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14:paraId="1A7458B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C7C3420"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14:paraId="43E8B3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129C447" w14:textId="77777777"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14:paraId="4A5BA75E" w14:textId="77777777" w:rsidR="0008591B" w:rsidRPr="00C37DCC" w:rsidRDefault="0008591B" w:rsidP="0008591B">
      <w:pPr>
        <w:pStyle w:val="Telobesedila3"/>
        <w:spacing w:after="0"/>
        <w:rPr>
          <w:rFonts w:ascii="Tahoma" w:hAnsi="Tahoma" w:cs="Tahoma"/>
          <w:sz w:val="20"/>
          <w:szCs w:val="20"/>
        </w:rPr>
      </w:pPr>
    </w:p>
    <w:p w14:paraId="3930973E" w14:textId="77777777"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w:t>
      </w:r>
      <w:r w:rsidRPr="00C37DCC">
        <w:rPr>
          <w:rFonts w:ascii="Tahoma" w:hAnsi="Tahoma" w:cs="Tahoma"/>
          <w:sz w:val="20"/>
          <w:szCs w:val="20"/>
        </w:rPr>
        <w:lastRenderedPageBreak/>
        <w:t xml:space="preserve">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14:paraId="1826F40D" w14:textId="77777777"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14:paraId="296D57FD" w14:textId="57B1E3BD"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D779E2">
        <w:rPr>
          <w:rFonts w:ascii="Tahoma" w:hAnsi="Tahoma" w:cs="Tahoma"/>
          <w:sz w:val="20"/>
        </w:rPr>
        <w:t>2022</w:t>
      </w:r>
      <w:r w:rsidR="00A00EDF" w:rsidRPr="006B36AC">
        <w:rPr>
          <w:rFonts w:ascii="Tahoma" w:hAnsi="Tahoma" w:cs="Tahoma"/>
          <w:sz w:val="20"/>
        </w:rPr>
        <w:t xml:space="preserve"> </w:t>
      </w:r>
      <w:r w:rsidRPr="006B36AC">
        <w:rPr>
          <w:rFonts w:ascii="Tahoma" w:hAnsi="Tahoma" w:cs="Tahoma"/>
          <w:sz w:val="20"/>
        </w:rPr>
        <w:t>in njegovi realizaciji.</w:t>
      </w:r>
    </w:p>
    <w:p w14:paraId="62D54067"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2A1491CD"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14:paraId="722A2BE7" w14:textId="77777777"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14:paraId="56E3333B"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5313114" w14:textId="77777777"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w:t>
      </w:r>
      <w:r w:rsidR="00A039A6">
        <w:rPr>
          <w:rFonts w:ascii="Tahoma" w:hAnsi="Tahoma" w:cs="Tahoma"/>
          <w:sz w:val="20"/>
          <w:szCs w:val="20"/>
          <w:lang w:eastAsia="sl-SI"/>
        </w:rPr>
        <w:t>,</w:t>
      </w:r>
      <w:r w:rsidRPr="00C37DCC">
        <w:rPr>
          <w:rFonts w:ascii="Tahoma" w:hAnsi="Tahoma" w:cs="Tahoma"/>
          <w:sz w:val="20"/>
          <w:szCs w:val="20"/>
          <w:lang w:eastAsia="sl-SI"/>
        </w:rPr>
        <w:t xml:space="preserve"> župan obvesti občinski svet</w:t>
      </w:r>
      <w:r w:rsidR="00E75345">
        <w:rPr>
          <w:rFonts w:ascii="Tahoma" w:hAnsi="Tahoma" w:cs="Tahoma"/>
          <w:sz w:val="20"/>
          <w:szCs w:val="20"/>
          <w:lang w:eastAsia="sl-SI"/>
        </w:rPr>
        <w:t>.</w:t>
      </w:r>
    </w:p>
    <w:p w14:paraId="2B34B385" w14:textId="77777777"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14:paraId="1FD7B455" w14:textId="77777777"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12DF181"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14:paraId="4A96A66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14:paraId="107B5ECB"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7F05840"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14:paraId="0A768C89"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0FA0BDC" w14:textId="77777777"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14:paraId="13A5B138" w14:textId="77777777"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68C70F5"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14:paraId="64D6548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74FE29"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14:paraId="5C4712D4" w14:textId="1ABF2FBB"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Prav tako omejitev ne velja za obveznosti prevozov šolskih otrok, vzdrževanja gozdnih cest, vzdrževanja občinskih cest </w:t>
      </w:r>
      <w:r w:rsidR="00C65CC9">
        <w:rPr>
          <w:rFonts w:ascii="Tahoma" w:hAnsi="Tahoma" w:cs="Tahoma"/>
          <w:sz w:val="20"/>
        </w:rPr>
        <w:t xml:space="preserve">in javnih zelenic </w:t>
      </w:r>
      <w:r w:rsidRPr="009B557E">
        <w:rPr>
          <w:rFonts w:ascii="Tahoma" w:hAnsi="Tahoma" w:cs="Tahoma"/>
          <w:sz w:val="20"/>
        </w:rPr>
        <w:t>in izdajanja občinskega časopisa.</w:t>
      </w:r>
    </w:p>
    <w:p w14:paraId="2DAA481A"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789CD54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14:paraId="33AFCC3B"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A3AC494"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14:paraId="3B94571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14:paraId="44DE6BAB"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3D55631" w14:textId="77777777"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14:paraId="4A584BD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861B612"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14:paraId="179290E8"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CCDC8E1" w14:textId="77777777"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14:paraId="2DA04D36" w14:textId="77777777"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14:paraId="79BED2A0" w14:textId="77777777"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lastRenderedPageBreak/>
        <w:t>Vso</w:t>
      </w:r>
      <w:r w:rsidR="00751AC1" w:rsidRPr="00ED6009">
        <w:rPr>
          <w:rFonts w:ascii="Tahoma" w:hAnsi="Tahoma" w:cs="Tahoma"/>
          <w:sz w:val="20"/>
        </w:rPr>
        <w:t xml:space="preserve"> investicijsko dokumentacijo za projekte, vključene v načrt razvojnih programov, sprejema župan. </w:t>
      </w:r>
    </w:p>
    <w:p w14:paraId="28A3454E"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AA67A82"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14:paraId="7FB69767"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14:paraId="1ADB43E1"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68C7D325" w14:textId="09B2CD6D" w:rsidR="0012721A"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14:paraId="2B7F7B42" w14:textId="77777777" w:rsidR="00C65CC9" w:rsidRPr="00C37DCC" w:rsidRDefault="00C65CC9" w:rsidP="004936B8">
      <w:pPr>
        <w:pStyle w:val="Telobesedila"/>
        <w:tabs>
          <w:tab w:val="clear" w:pos="-1440"/>
          <w:tab w:val="left" w:pos="-1080"/>
          <w:tab w:val="left" w:pos="-720"/>
          <w:tab w:val="left" w:pos="0"/>
          <w:tab w:val="left" w:pos="810"/>
          <w:tab w:val="left" w:pos="1080"/>
        </w:tabs>
        <w:rPr>
          <w:rFonts w:ascii="Tahoma" w:hAnsi="Tahoma" w:cs="Tahoma"/>
          <w:sz w:val="20"/>
        </w:rPr>
      </w:pPr>
    </w:p>
    <w:p w14:paraId="69412058" w14:textId="1083C5B7"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D779E2">
        <w:rPr>
          <w:rFonts w:ascii="Tahoma" w:hAnsi="Tahoma" w:cs="Tahoma"/>
          <w:sz w:val="20"/>
        </w:rPr>
        <w:t>2022</w:t>
      </w:r>
      <w:r w:rsidRPr="00C37DCC">
        <w:rPr>
          <w:rFonts w:ascii="Tahoma" w:hAnsi="Tahoma" w:cs="Tahoma"/>
          <w:sz w:val="20"/>
        </w:rPr>
        <w:t xml:space="preserve"> oblikuje v višini</w:t>
      </w:r>
      <w:r w:rsidR="004936B8" w:rsidRPr="00C37DCC">
        <w:rPr>
          <w:rFonts w:ascii="Tahoma" w:hAnsi="Tahoma" w:cs="Tahoma"/>
          <w:sz w:val="20"/>
        </w:rPr>
        <w:t xml:space="preserve"> </w:t>
      </w:r>
      <w:r w:rsidR="00D779E2">
        <w:rPr>
          <w:rFonts w:ascii="Tahoma" w:hAnsi="Tahoma" w:cs="Tahoma"/>
          <w:sz w:val="20"/>
        </w:rPr>
        <w:t>6</w:t>
      </w:r>
      <w:r w:rsidR="0033058D">
        <w:rPr>
          <w:rFonts w:ascii="Tahoma" w:hAnsi="Tahoma" w:cs="Tahoma"/>
          <w:sz w:val="20"/>
        </w:rPr>
        <w:t>.000</w:t>
      </w:r>
      <w:r w:rsidR="004936B8" w:rsidRPr="00C37DCC">
        <w:rPr>
          <w:rFonts w:ascii="Tahoma" w:hAnsi="Tahoma" w:cs="Tahoma"/>
          <w:sz w:val="20"/>
        </w:rPr>
        <w:t xml:space="preserve"> EUR.</w:t>
      </w:r>
    </w:p>
    <w:p w14:paraId="581F10BE" w14:textId="77777777" w:rsidR="00C65CC9" w:rsidRPr="00C37DCC" w:rsidRDefault="00C65CC9" w:rsidP="0012721A">
      <w:pPr>
        <w:pStyle w:val="Telobesedila"/>
        <w:tabs>
          <w:tab w:val="clear" w:pos="-1440"/>
          <w:tab w:val="left" w:pos="-1080"/>
          <w:tab w:val="left" w:pos="-720"/>
          <w:tab w:val="left" w:pos="0"/>
          <w:tab w:val="left" w:pos="810"/>
          <w:tab w:val="left" w:pos="1080"/>
        </w:tabs>
        <w:rPr>
          <w:rFonts w:ascii="Tahoma" w:hAnsi="Tahoma" w:cs="Tahoma"/>
          <w:sz w:val="20"/>
        </w:rPr>
      </w:pPr>
    </w:p>
    <w:p w14:paraId="6EEC1FFE" w14:textId="77777777"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14:paraId="739436C7" w14:textId="77777777"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14:paraId="1806699B" w14:textId="77777777"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14:paraId="490E15C8" w14:textId="77777777"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3C667585" w14:textId="77777777"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14:paraId="41B73D51" w14:textId="77777777"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14:paraId="2DB829A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D222A8F" w14:textId="51B163B2"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w:t>
      </w:r>
      <w:r w:rsidR="003B5C86">
        <w:rPr>
          <w:rFonts w:ascii="Tahoma" w:hAnsi="Tahoma" w:cs="Tahoma"/>
          <w:sz w:val="20"/>
        </w:rPr>
        <w:t>20</w:t>
      </w:r>
      <w:r w:rsidR="00E30EDB" w:rsidRPr="00C37DCC">
        <w:rPr>
          <w:rFonts w:ascii="Tahoma" w:hAnsi="Tahoma" w:cs="Tahoma"/>
          <w:sz w:val="20"/>
        </w:rPr>
        <w:t xml:space="preserve"> EUR </w:t>
      </w:r>
      <w:r w:rsidRPr="00C37DCC">
        <w:rPr>
          <w:rFonts w:ascii="Tahoma" w:hAnsi="Tahoma" w:cs="Tahoma"/>
          <w:sz w:val="20"/>
        </w:rPr>
        <w:t>odpiše plačilo dolga.</w:t>
      </w:r>
    </w:p>
    <w:p w14:paraId="72C76957" w14:textId="77777777"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14:paraId="6721340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14:paraId="7FD6C3E4"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14:paraId="6D25F49E"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14:paraId="642635B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14:paraId="28E802CE" w14:textId="77777777"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53FAE0C8" w14:textId="53C3C067" w:rsidR="00D779E2" w:rsidRPr="00CF1B49" w:rsidRDefault="00D779E2" w:rsidP="00D779E2">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Pr>
          <w:rFonts w:ascii="Tahoma" w:hAnsi="Tahoma" w:cs="Tahoma"/>
          <w:sz w:val="20"/>
        </w:rPr>
        <w:t>2022</w:t>
      </w:r>
      <w:r w:rsidRPr="00CF1B49">
        <w:rPr>
          <w:rFonts w:ascii="Tahoma" w:hAnsi="Tahoma" w:cs="Tahoma"/>
          <w:sz w:val="20"/>
        </w:rPr>
        <w:t xml:space="preserve"> lahko zadolži do višine </w:t>
      </w:r>
      <w:r>
        <w:rPr>
          <w:rFonts w:ascii="Tahoma" w:hAnsi="Tahoma" w:cs="Tahoma"/>
          <w:sz w:val="20"/>
        </w:rPr>
        <w:t>380.000</w:t>
      </w:r>
      <w:r w:rsidRPr="00CF1B49">
        <w:rPr>
          <w:rFonts w:ascii="Tahoma" w:hAnsi="Tahoma" w:cs="Tahoma"/>
          <w:sz w:val="20"/>
        </w:rPr>
        <w:t xml:space="preserve"> EUR</w:t>
      </w:r>
      <w:r>
        <w:rPr>
          <w:rFonts w:ascii="Tahoma" w:hAnsi="Tahoma" w:cs="Tahoma"/>
          <w:sz w:val="20"/>
        </w:rPr>
        <w:t xml:space="preserve"> in sicer za investicije v infrastrukturo za izvajanje javnih služb</w:t>
      </w:r>
      <w:r w:rsidRPr="00CF1B49">
        <w:rPr>
          <w:rFonts w:ascii="Tahoma" w:hAnsi="Tahoma" w:cs="Tahoma"/>
          <w:sz w:val="20"/>
        </w:rPr>
        <w:t>.</w:t>
      </w:r>
    </w:p>
    <w:p w14:paraId="57FD0212" w14:textId="77777777"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14:paraId="20453E5D"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1B7636C0"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14:paraId="211F29BC"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14:paraId="4390DDCC"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2799C669" w14:textId="2F248F7C" w:rsidR="00A221FC"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D779E2">
        <w:rPr>
          <w:rFonts w:ascii="Tahoma" w:hAnsi="Tahoma" w:cs="Tahoma"/>
          <w:sz w:val="20"/>
        </w:rPr>
        <w:t>2022</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14:paraId="113B0DEF" w14:textId="77777777" w:rsidR="00C65CC9" w:rsidRPr="004C6CB6" w:rsidRDefault="00C65CC9" w:rsidP="00A221FC">
      <w:pPr>
        <w:pStyle w:val="Telobesedila"/>
        <w:tabs>
          <w:tab w:val="left" w:pos="-1080"/>
          <w:tab w:val="left" w:pos="-720"/>
          <w:tab w:val="left" w:pos="0"/>
          <w:tab w:val="left" w:pos="810"/>
          <w:tab w:val="left" w:pos="1080"/>
        </w:tabs>
        <w:rPr>
          <w:rFonts w:ascii="Tahoma" w:hAnsi="Tahoma" w:cs="Tahoma"/>
          <w:sz w:val="20"/>
        </w:rPr>
      </w:pPr>
    </w:p>
    <w:p w14:paraId="515D61D1" w14:textId="4E162299"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D779E2">
        <w:rPr>
          <w:rFonts w:ascii="Tahoma" w:hAnsi="Tahoma" w:cs="Tahoma"/>
          <w:sz w:val="20"/>
        </w:rPr>
        <w:t>2022</w:t>
      </w:r>
      <w:r w:rsidRPr="000843F4">
        <w:rPr>
          <w:rFonts w:ascii="Tahoma" w:hAnsi="Tahoma" w:cs="Tahoma"/>
          <w:sz w:val="20"/>
        </w:rPr>
        <w:t xml:space="preserve"> </w:t>
      </w:r>
      <w:r>
        <w:rPr>
          <w:rFonts w:ascii="Tahoma" w:hAnsi="Tahoma" w:cs="Tahoma"/>
          <w:sz w:val="20"/>
        </w:rPr>
        <w:t>ne smejo izdajati poroštev.</w:t>
      </w:r>
    </w:p>
    <w:p w14:paraId="067E6732" w14:textId="77777777"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14:paraId="297696A2" w14:textId="77777777" w:rsidR="00C65CC9" w:rsidRDefault="00C65CC9">
      <w:pPr>
        <w:jc w:val="left"/>
        <w:rPr>
          <w:rFonts w:ascii="Tahoma" w:hAnsi="Tahoma" w:cs="Tahoma"/>
          <w:b/>
          <w:sz w:val="20"/>
          <w:szCs w:val="20"/>
        </w:rPr>
      </w:pPr>
      <w:r>
        <w:rPr>
          <w:rFonts w:ascii="Tahoma" w:hAnsi="Tahoma" w:cs="Tahoma"/>
          <w:b/>
          <w:sz w:val="20"/>
        </w:rPr>
        <w:br w:type="page"/>
      </w:r>
    </w:p>
    <w:p w14:paraId="3A499B97" w14:textId="3AD21B85"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6. PREHODNE IN KONČNE DOLOČBE</w:t>
      </w:r>
    </w:p>
    <w:p w14:paraId="34E2D310" w14:textId="77777777"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14:paraId="7CC7D32B"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14:paraId="18FD07F8" w14:textId="2127417B"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D779E2">
        <w:rPr>
          <w:rFonts w:ascii="Tahoma" w:hAnsi="Tahoma" w:cs="Tahoma"/>
          <w:sz w:val="20"/>
        </w:rPr>
        <w:t>2023</w:t>
      </w:r>
      <w:r w:rsidRPr="00C37DCC">
        <w:rPr>
          <w:rFonts w:ascii="Tahoma" w:hAnsi="Tahoma" w:cs="Tahoma"/>
          <w:sz w:val="20"/>
        </w:rPr>
        <w:t>)</w:t>
      </w:r>
    </w:p>
    <w:p w14:paraId="3E276593"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8707FE3" w14:textId="165CF826"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D779E2">
        <w:rPr>
          <w:rFonts w:ascii="Tahoma" w:hAnsi="Tahoma" w:cs="Tahoma"/>
          <w:sz w:val="20"/>
        </w:rPr>
        <w:t>2023</w:t>
      </w:r>
      <w:r w:rsidRPr="00C37DCC">
        <w:rPr>
          <w:rFonts w:ascii="Tahoma" w:hAnsi="Tahoma" w:cs="Tahoma"/>
          <w:sz w:val="20"/>
        </w:rPr>
        <w:t>, se uporablja ta odlok in sklep o določitvi začasnega financiranja.</w:t>
      </w:r>
    </w:p>
    <w:p w14:paraId="5B0DCE57"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3BB1C522"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14:paraId="2DE487EA" w14:textId="77777777"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14:paraId="333ED8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0CFDCA76" w14:textId="4D7F829E" w:rsidR="0012721A" w:rsidRPr="00D779E2"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D779E2">
        <w:rPr>
          <w:rFonts w:ascii="Tahoma" w:hAnsi="Tahoma" w:cs="Tahoma"/>
          <w:sz w:val="20"/>
        </w:rPr>
        <w:t xml:space="preserve">Ta odlok </w:t>
      </w:r>
      <w:r w:rsidR="008E33DC" w:rsidRPr="00D779E2">
        <w:rPr>
          <w:rFonts w:ascii="Tahoma" w:hAnsi="Tahoma" w:cs="Tahoma"/>
          <w:sz w:val="20"/>
        </w:rPr>
        <w:t xml:space="preserve">se objavi v </w:t>
      </w:r>
      <w:r w:rsidRPr="00D779E2">
        <w:rPr>
          <w:rFonts w:ascii="Tahoma" w:hAnsi="Tahoma" w:cs="Tahoma"/>
          <w:sz w:val="20"/>
        </w:rPr>
        <w:t>Uradnem listu Republike Slovenije</w:t>
      </w:r>
      <w:r w:rsidR="008E33DC" w:rsidRPr="00D779E2">
        <w:rPr>
          <w:rFonts w:ascii="Tahoma" w:hAnsi="Tahoma" w:cs="Tahoma"/>
          <w:sz w:val="20"/>
        </w:rPr>
        <w:t xml:space="preserve"> in začne veljati 1.1.</w:t>
      </w:r>
      <w:r w:rsidR="00D779E2" w:rsidRPr="00D779E2">
        <w:rPr>
          <w:rFonts w:ascii="Tahoma" w:hAnsi="Tahoma" w:cs="Tahoma"/>
          <w:sz w:val="20"/>
        </w:rPr>
        <w:t>2022</w:t>
      </w:r>
      <w:r w:rsidRPr="00D779E2">
        <w:rPr>
          <w:rFonts w:ascii="Tahoma" w:hAnsi="Tahoma" w:cs="Tahoma"/>
          <w:sz w:val="20"/>
        </w:rPr>
        <w:t>.</w:t>
      </w:r>
    </w:p>
    <w:p w14:paraId="7F4CD054" w14:textId="77777777"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14:paraId="40E120F3" w14:textId="13CF8255"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D779E2">
        <w:rPr>
          <w:rFonts w:ascii="Tahoma" w:hAnsi="Tahoma" w:cs="Tahoma"/>
          <w:sz w:val="20"/>
          <w:szCs w:val="20"/>
          <w:lang w:eastAsia="sl-SI"/>
        </w:rPr>
        <w:t>07</w:t>
      </w:r>
      <w:r w:rsidR="00B04D74">
        <w:rPr>
          <w:rFonts w:ascii="Tahoma" w:hAnsi="Tahoma" w:cs="Tahoma"/>
          <w:sz w:val="20"/>
          <w:szCs w:val="20"/>
          <w:lang w:eastAsia="sl-SI"/>
        </w:rPr>
        <w:t>/20</w:t>
      </w:r>
      <w:r w:rsidR="00D779E2">
        <w:rPr>
          <w:rFonts w:ascii="Tahoma" w:hAnsi="Tahoma" w:cs="Tahoma"/>
          <w:sz w:val="20"/>
          <w:szCs w:val="20"/>
          <w:lang w:eastAsia="sl-SI"/>
        </w:rPr>
        <w:t>21</w:t>
      </w:r>
    </w:p>
    <w:p w14:paraId="17B9DCA0" w14:textId="551778C8"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14:paraId="5051B181" w14:textId="77777777"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14:paraId="6913715C" w14:textId="77777777"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7A67F" w14:textId="77777777" w:rsidR="00242281" w:rsidRDefault="00242281">
      <w:r>
        <w:separator/>
      </w:r>
    </w:p>
  </w:endnote>
  <w:endnote w:type="continuationSeparator" w:id="0">
    <w:p w14:paraId="4B438C1E" w14:textId="77777777" w:rsidR="00242281" w:rsidRDefault="0024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61F5" w14:textId="77777777"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14:paraId="713EE8D0" w14:textId="77777777" w:rsidR="00421FEE" w:rsidRDefault="00421FEE" w:rsidP="008609A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8C41" w14:textId="77777777"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A70714">
      <w:rPr>
        <w:rStyle w:val="tevilkastrani"/>
        <w:rFonts w:ascii="Tahoma" w:hAnsi="Tahoma" w:cs="Tahoma"/>
        <w:noProof/>
        <w:sz w:val="20"/>
        <w:szCs w:val="20"/>
      </w:rPr>
      <w:t>6</w:t>
    </w:r>
    <w:r w:rsidRPr="008609A6">
      <w:rPr>
        <w:rStyle w:val="tevilkastrani"/>
        <w:rFonts w:ascii="Tahoma" w:hAnsi="Tahoma" w:cs="Tahoma"/>
        <w:sz w:val="20"/>
        <w:szCs w:val="20"/>
      </w:rPr>
      <w:fldChar w:fldCharType="end"/>
    </w:r>
  </w:p>
  <w:p w14:paraId="0996898F" w14:textId="77777777"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E9D41" w14:textId="77777777" w:rsidR="00242281" w:rsidRDefault="00242281">
      <w:r>
        <w:separator/>
      </w:r>
    </w:p>
  </w:footnote>
  <w:footnote w:type="continuationSeparator" w:id="0">
    <w:p w14:paraId="2FBA9115" w14:textId="77777777" w:rsidR="00242281" w:rsidRDefault="0024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15:restartNumberingAfterBreak="0">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46"/>
    <w:rsid w:val="00000A26"/>
    <w:rsid w:val="00022F78"/>
    <w:rsid w:val="00027830"/>
    <w:rsid w:val="00031051"/>
    <w:rsid w:val="00042BE1"/>
    <w:rsid w:val="00046CC2"/>
    <w:rsid w:val="00060AFA"/>
    <w:rsid w:val="00071CD3"/>
    <w:rsid w:val="00083917"/>
    <w:rsid w:val="0008591B"/>
    <w:rsid w:val="00092817"/>
    <w:rsid w:val="00094117"/>
    <w:rsid w:val="000B777F"/>
    <w:rsid w:val="000C2433"/>
    <w:rsid w:val="000C56B3"/>
    <w:rsid w:val="000C592C"/>
    <w:rsid w:val="000D7571"/>
    <w:rsid w:val="000E060B"/>
    <w:rsid w:val="000E0F30"/>
    <w:rsid w:val="000E1C37"/>
    <w:rsid w:val="000E3A24"/>
    <w:rsid w:val="001208BD"/>
    <w:rsid w:val="0012721A"/>
    <w:rsid w:val="00137AB5"/>
    <w:rsid w:val="00150E75"/>
    <w:rsid w:val="001568E7"/>
    <w:rsid w:val="00166187"/>
    <w:rsid w:val="00185AC4"/>
    <w:rsid w:val="001903BE"/>
    <w:rsid w:val="001B22CE"/>
    <w:rsid w:val="001B6B53"/>
    <w:rsid w:val="001D02B9"/>
    <w:rsid w:val="001D47F5"/>
    <w:rsid w:val="001E031D"/>
    <w:rsid w:val="001E2AA6"/>
    <w:rsid w:val="001E5063"/>
    <w:rsid w:val="001E5B1B"/>
    <w:rsid w:val="001F5376"/>
    <w:rsid w:val="001F604B"/>
    <w:rsid w:val="002211C7"/>
    <w:rsid w:val="002379CF"/>
    <w:rsid w:val="00242281"/>
    <w:rsid w:val="002423E9"/>
    <w:rsid w:val="002514BF"/>
    <w:rsid w:val="00261395"/>
    <w:rsid w:val="00267C71"/>
    <w:rsid w:val="002760C8"/>
    <w:rsid w:val="00283BC8"/>
    <w:rsid w:val="002917F2"/>
    <w:rsid w:val="00291D9C"/>
    <w:rsid w:val="00295D50"/>
    <w:rsid w:val="002C3187"/>
    <w:rsid w:val="002D3C58"/>
    <w:rsid w:val="002E3C61"/>
    <w:rsid w:val="002F018F"/>
    <w:rsid w:val="00313CD8"/>
    <w:rsid w:val="00327B9E"/>
    <w:rsid w:val="0033058D"/>
    <w:rsid w:val="00332CDB"/>
    <w:rsid w:val="00345EB3"/>
    <w:rsid w:val="003471DF"/>
    <w:rsid w:val="003476E6"/>
    <w:rsid w:val="003524A1"/>
    <w:rsid w:val="00377542"/>
    <w:rsid w:val="00390E6D"/>
    <w:rsid w:val="00391941"/>
    <w:rsid w:val="00395A62"/>
    <w:rsid w:val="003B5C86"/>
    <w:rsid w:val="003C0E26"/>
    <w:rsid w:val="003C6A06"/>
    <w:rsid w:val="003C6FA6"/>
    <w:rsid w:val="003E06CA"/>
    <w:rsid w:val="003E35CF"/>
    <w:rsid w:val="003F2887"/>
    <w:rsid w:val="003F6E60"/>
    <w:rsid w:val="0041638D"/>
    <w:rsid w:val="00417E92"/>
    <w:rsid w:val="00421FEE"/>
    <w:rsid w:val="0042390B"/>
    <w:rsid w:val="004264B1"/>
    <w:rsid w:val="00437CE6"/>
    <w:rsid w:val="0045141F"/>
    <w:rsid w:val="00451908"/>
    <w:rsid w:val="004564E3"/>
    <w:rsid w:val="00466601"/>
    <w:rsid w:val="004936B8"/>
    <w:rsid w:val="004A5133"/>
    <w:rsid w:val="004B23D2"/>
    <w:rsid w:val="004C4A0E"/>
    <w:rsid w:val="004C6CB6"/>
    <w:rsid w:val="004C7654"/>
    <w:rsid w:val="004F03E2"/>
    <w:rsid w:val="005140F1"/>
    <w:rsid w:val="00531975"/>
    <w:rsid w:val="005625B8"/>
    <w:rsid w:val="00570954"/>
    <w:rsid w:val="00573151"/>
    <w:rsid w:val="00575501"/>
    <w:rsid w:val="005A027F"/>
    <w:rsid w:val="005A02B7"/>
    <w:rsid w:val="005B05E0"/>
    <w:rsid w:val="005B1BFF"/>
    <w:rsid w:val="005B4DCE"/>
    <w:rsid w:val="005C260E"/>
    <w:rsid w:val="005D7422"/>
    <w:rsid w:val="005D7800"/>
    <w:rsid w:val="005E2054"/>
    <w:rsid w:val="006026F3"/>
    <w:rsid w:val="0060318E"/>
    <w:rsid w:val="006031E7"/>
    <w:rsid w:val="00611FA4"/>
    <w:rsid w:val="00613C3D"/>
    <w:rsid w:val="006264AB"/>
    <w:rsid w:val="00632BBE"/>
    <w:rsid w:val="00646BD6"/>
    <w:rsid w:val="0066336F"/>
    <w:rsid w:val="00663E5B"/>
    <w:rsid w:val="0068710B"/>
    <w:rsid w:val="006937F3"/>
    <w:rsid w:val="006A0776"/>
    <w:rsid w:val="006A3AB8"/>
    <w:rsid w:val="006A3CE2"/>
    <w:rsid w:val="006A551F"/>
    <w:rsid w:val="006B0E67"/>
    <w:rsid w:val="006B36AC"/>
    <w:rsid w:val="006B71F4"/>
    <w:rsid w:val="006C1B69"/>
    <w:rsid w:val="006D2B05"/>
    <w:rsid w:val="006E7958"/>
    <w:rsid w:val="006E797B"/>
    <w:rsid w:val="006F089A"/>
    <w:rsid w:val="006F2C8D"/>
    <w:rsid w:val="00726E90"/>
    <w:rsid w:val="00750D69"/>
    <w:rsid w:val="00751AC1"/>
    <w:rsid w:val="00772802"/>
    <w:rsid w:val="00772D25"/>
    <w:rsid w:val="00795A1C"/>
    <w:rsid w:val="007A3883"/>
    <w:rsid w:val="007A4A54"/>
    <w:rsid w:val="007B403F"/>
    <w:rsid w:val="007B54B3"/>
    <w:rsid w:val="007C043B"/>
    <w:rsid w:val="007C5797"/>
    <w:rsid w:val="007C63E6"/>
    <w:rsid w:val="007C7D97"/>
    <w:rsid w:val="007D5889"/>
    <w:rsid w:val="007E08ED"/>
    <w:rsid w:val="007E5F2F"/>
    <w:rsid w:val="007F7BC7"/>
    <w:rsid w:val="00805D9D"/>
    <w:rsid w:val="00813CBB"/>
    <w:rsid w:val="00833C80"/>
    <w:rsid w:val="00836302"/>
    <w:rsid w:val="008372DA"/>
    <w:rsid w:val="008377C8"/>
    <w:rsid w:val="00840145"/>
    <w:rsid w:val="008503BA"/>
    <w:rsid w:val="008609A6"/>
    <w:rsid w:val="00862A63"/>
    <w:rsid w:val="00864603"/>
    <w:rsid w:val="008674A2"/>
    <w:rsid w:val="008803B9"/>
    <w:rsid w:val="00883981"/>
    <w:rsid w:val="00883DB0"/>
    <w:rsid w:val="00890840"/>
    <w:rsid w:val="008920CD"/>
    <w:rsid w:val="00893D4A"/>
    <w:rsid w:val="008B24B8"/>
    <w:rsid w:val="008B3FD8"/>
    <w:rsid w:val="008B5A87"/>
    <w:rsid w:val="008B68FF"/>
    <w:rsid w:val="008C2079"/>
    <w:rsid w:val="008C5A22"/>
    <w:rsid w:val="008D0BB5"/>
    <w:rsid w:val="008D7DB8"/>
    <w:rsid w:val="008E26C5"/>
    <w:rsid w:val="008E33DC"/>
    <w:rsid w:val="00915DDC"/>
    <w:rsid w:val="00936946"/>
    <w:rsid w:val="00940AA5"/>
    <w:rsid w:val="00940CE0"/>
    <w:rsid w:val="00942618"/>
    <w:rsid w:val="00976F9E"/>
    <w:rsid w:val="0097739B"/>
    <w:rsid w:val="009831EE"/>
    <w:rsid w:val="00991294"/>
    <w:rsid w:val="00996536"/>
    <w:rsid w:val="009A3D81"/>
    <w:rsid w:val="009A69F0"/>
    <w:rsid w:val="009A6B3A"/>
    <w:rsid w:val="009A6EA0"/>
    <w:rsid w:val="009B0468"/>
    <w:rsid w:val="009B1676"/>
    <w:rsid w:val="009B393B"/>
    <w:rsid w:val="009B557E"/>
    <w:rsid w:val="009B74BB"/>
    <w:rsid w:val="009C2198"/>
    <w:rsid w:val="009C735E"/>
    <w:rsid w:val="009C7BEF"/>
    <w:rsid w:val="009D166E"/>
    <w:rsid w:val="009D283D"/>
    <w:rsid w:val="009D6A5B"/>
    <w:rsid w:val="009F11B1"/>
    <w:rsid w:val="00A00EDF"/>
    <w:rsid w:val="00A02518"/>
    <w:rsid w:val="00A039A6"/>
    <w:rsid w:val="00A05EFE"/>
    <w:rsid w:val="00A072CC"/>
    <w:rsid w:val="00A13401"/>
    <w:rsid w:val="00A153EB"/>
    <w:rsid w:val="00A171B4"/>
    <w:rsid w:val="00A177E8"/>
    <w:rsid w:val="00A221FC"/>
    <w:rsid w:val="00A234C3"/>
    <w:rsid w:val="00A275FE"/>
    <w:rsid w:val="00A304BD"/>
    <w:rsid w:val="00A342CC"/>
    <w:rsid w:val="00A44EDC"/>
    <w:rsid w:val="00A46E24"/>
    <w:rsid w:val="00A57766"/>
    <w:rsid w:val="00A64D6B"/>
    <w:rsid w:val="00A667E8"/>
    <w:rsid w:val="00A67497"/>
    <w:rsid w:val="00A70714"/>
    <w:rsid w:val="00A74EF3"/>
    <w:rsid w:val="00A75A74"/>
    <w:rsid w:val="00A83869"/>
    <w:rsid w:val="00A96145"/>
    <w:rsid w:val="00AA48BB"/>
    <w:rsid w:val="00AA7921"/>
    <w:rsid w:val="00AB4931"/>
    <w:rsid w:val="00AB681B"/>
    <w:rsid w:val="00AD7677"/>
    <w:rsid w:val="00AE0541"/>
    <w:rsid w:val="00AE7A29"/>
    <w:rsid w:val="00B04D74"/>
    <w:rsid w:val="00B04DCF"/>
    <w:rsid w:val="00B06460"/>
    <w:rsid w:val="00B12954"/>
    <w:rsid w:val="00B25A0A"/>
    <w:rsid w:val="00B32025"/>
    <w:rsid w:val="00B41441"/>
    <w:rsid w:val="00B45033"/>
    <w:rsid w:val="00B611FE"/>
    <w:rsid w:val="00B633EF"/>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27140"/>
    <w:rsid w:val="00C32088"/>
    <w:rsid w:val="00C32BF3"/>
    <w:rsid w:val="00C37BA5"/>
    <w:rsid w:val="00C37DCC"/>
    <w:rsid w:val="00C65CC9"/>
    <w:rsid w:val="00C73F43"/>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17431"/>
    <w:rsid w:val="00D216DC"/>
    <w:rsid w:val="00D44AC3"/>
    <w:rsid w:val="00D534D9"/>
    <w:rsid w:val="00D63164"/>
    <w:rsid w:val="00D72AA0"/>
    <w:rsid w:val="00D764CC"/>
    <w:rsid w:val="00D779E2"/>
    <w:rsid w:val="00D77ECB"/>
    <w:rsid w:val="00DA2B60"/>
    <w:rsid w:val="00DA4889"/>
    <w:rsid w:val="00DA5F4E"/>
    <w:rsid w:val="00DB2191"/>
    <w:rsid w:val="00DC58AB"/>
    <w:rsid w:val="00DD04B9"/>
    <w:rsid w:val="00DD1762"/>
    <w:rsid w:val="00DD1C2F"/>
    <w:rsid w:val="00DD2D67"/>
    <w:rsid w:val="00DD7805"/>
    <w:rsid w:val="00DD7888"/>
    <w:rsid w:val="00DE29F3"/>
    <w:rsid w:val="00DE5945"/>
    <w:rsid w:val="00DE6FDB"/>
    <w:rsid w:val="00DE79EF"/>
    <w:rsid w:val="00DF5945"/>
    <w:rsid w:val="00E00F11"/>
    <w:rsid w:val="00E119DD"/>
    <w:rsid w:val="00E1586F"/>
    <w:rsid w:val="00E30A87"/>
    <w:rsid w:val="00E30EDB"/>
    <w:rsid w:val="00E533E5"/>
    <w:rsid w:val="00E74357"/>
    <w:rsid w:val="00E75345"/>
    <w:rsid w:val="00E87317"/>
    <w:rsid w:val="00E87522"/>
    <w:rsid w:val="00E9069C"/>
    <w:rsid w:val="00E943E2"/>
    <w:rsid w:val="00E951AB"/>
    <w:rsid w:val="00EA16B3"/>
    <w:rsid w:val="00EA2FA0"/>
    <w:rsid w:val="00EA5859"/>
    <w:rsid w:val="00EB19FD"/>
    <w:rsid w:val="00EB4388"/>
    <w:rsid w:val="00EC122F"/>
    <w:rsid w:val="00EC324A"/>
    <w:rsid w:val="00EC4221"/>
    <w:rsid w:val="00ED5026"/>
    <w:rsid w:val="00ED6009"/>
    <w:rsid w:val="00EE27BB"/>
    <w:rsid w:val="00EE7CF8"/>
    <w:rsid w:val="00F022A4"/>
    <w:rsid w:val="00F06951"/>
    <w:rsid w:val="00F11799"/>
    <w:rsid w:val="00F11EEF"/>
    <w:rsid w:val="00F26E56"/>
    <w:rsid w:val="00F440EA"/>
    <w:rsid w:val="00F5477C"/>
    <w:rsid w:val="00F82DE1"/>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2CA7A"/>
  <w15:docId w15:val="{493BF07C-9F11-4F64-A714-1C97FB2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05237971">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8334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urlurid=2007469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urlurid=2012170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radni-list.si/1/objava.jsp?urlurid=20102763" TargetMode="External"/><Relationship Id="rId4" Type="http://schemas.openxmlformats.org/officeDocument/2006/relationships/webSettings" Target="webSettings.xml"/><Relationship Id="rId9" Type="http://schemas.openxmlformats.org/officeDocument/2006/relationships/hyperlink" Target="http://www.uradni-list.si/1/objava.jsp?urlurid=20093437"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2166</Words>
  <Characters>12350</Characters>
  <Application>Microsoft Office Word</Application>
  <DocSecurity>0</DocSecurity>
  <Lines>102</Lines>
  <Paragraphs>28</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 zvan</cp:lastModifiedBy>
  <cp:revision>3</cp:revision>
  <cp:lastPrinted>2017-12-21T08:40:00Z</cp:lastPrinted>
  <dcterms:created xsi:type="dcterms:W3CDTF">2021-09-28T07:55:00Z</dcterms:created>
  <dcterms:modified xsi:type="dcterms:W3CDTF">2021-09-28T07:59:00Z</dcterms:modified>
</cp:coreProperties>
</file>