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23" w:rsidRPr="00132A61" w:rsidRDefault="000C1A23" w:rsidP="000C1A23">
      <w:pPr>
        <w:jc w:val="both"/>
        <w:rPr>
          <w:rFonts w:ascii="Tahoma" w:hAnsi="Tahoma" w:cs="Tahoma"/>
          <w:b/>
          <w:sz w:val="20"/>
          <w:szCs w:val="20"/>
        </w:rPr>
      </w:pPr>
      <w:r w:rsidRPr="00132A61">
        <w:rPr>
          <w:rFonts w:ascii="Tahoma" w:hAnsi="Tahoma" w:cs="Tahoma"/>
          <w:b/>
          <w:sz w:val="20"/>
          <w:szCs w:val="20"/>
        </w:rPr>
        <w:t>PRISTOJNOST: OBČINSKI SVET OBČINE ŽIROVNICA</w:t>
      </w:r>
    </w:p>
    <w:p w:rsidR="000C1A23" w:rsidRPr="00132A61" w:rsidRDefault="000C1A23" w:rsidP="000C1A23">
      <w:pPr>
        <w:jc w:val="both"/>
        <w:rPr>
          <w:rFonts w:ascii="Tahoma" w:hAnsi="Tahoma" w:cs="Tahoma"/>
          <w:b/>
          <w:sz w:val="20"/>
          <w:szCs w:val="20"/>
        </w:rPr>
      </w:pPr>
      <w:r w:rsidRPr="00132A61">
        <w:rPr>
          <w:rFonts w:ascii="Tahoma" w:hAnsi="Tahoma" w:cs="Tahoma"/>
          <w:b/>
          <w:sz w:val="20"/>
          <w:szCs w:val="20"/>
        </w:rPr>
        <w:t>PREDLAGATELJ: ŽUPAN OBČINE ŽIROVNICA</w:t>
      </w:r>
    </w:p>
    <w:p w:rsidR="000C1A23" w:rsidRDefault="000C1A23" w:rsidP="000C1A23">
      <w:pPr>
        <w:jc w:val="both"/>
        <w:rPr>
          <w:rFonts w:ascii="Tahoma" w:hAnsi="Tahoma" w:cs="Tahoma"/>
          <w:sz w:val="20"/>
          <w:szCs w:val="20"/>
        </w:rPr>
      </w:pPr>
    </w:p>
    <w:p w:rsidR="000C1A23" w:rsidRDefault="000C1A23" w:rsidP="000C1A23">
      <w:pPr>
        <w:jc w:val="both"/>
        <w:rPr>
          <w:rFonts w:ascii="Tahoma" w:hAnsi="Tahoma" w:cs="Tahoma"/>
          <w:sz w:val="20"/>
          <w:szCs w:val="20"/>
        </w:rPr>
      </w:pPr>
    </w:p>
    <w:p w:rsidR="00992DC4" w:rsidRDefault="00992DC4"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b/>
          <w:sz w:val="20"/>
          <w:szCs w:val="20"/>
        </w:rPr>
      </w:pPr>
    </w:p>
    <w:p w:rsidR="000C1A23" w:rsidRPr="00CC317A" w:rsidRDefault="005560D0"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b/>
          <w:sz w:val="20"/>
          <w:szCs w:val="20"/>
        </w:rPr>
      </w:pPr>
      <w:r>
        <w:rPr>
          <w:rFonts w:ascii="Tahoma" w:hAnsi="Tahoma"/>
          <w:b/>
          <w:sz w:val="20"/>
          <w:szCs w:val="20"/>
        </w:rPr>
        <w:t xml:space="preserve">ODLOK O SOFINANCIRANJU </w:t>
      </w:r>
      <w:r w:rsidR="00AF3114">
        <w:rPr>
          <w:rFonts w:ascii="Tahoma" w:hAnsi="Tahoma"/>
          <w:b/>
          <w:sz w:val="20"/>
          <w:szCs w:val="20"/>
        </w:rPr>
        <w:t xml:space="preserve">LETNEGA PROGRAMA ŠPORTA V </w:t>
      </w:r>
      <w:r w:rsidR="00F97A60">
        <w:rPr>
          <w:rFonts w:ascii="Tahoma" w:hAnsi="Tahoma"/>
          <w:b/>
          <w:sz w:val="20"/>
          <w:szCs w:val="20"/>
        </w:rPr>
        <w:t>OBČIN</w:t>
      </w:r>
      <w:r w:rsidR="00AF3114">
        <w:rPr>
          <w:rFonts w:ascii="Tahoma" w:hAnsi="Tahoma"/>
          <w:b/>
          <w:sz w:val="20"/>
          <w:szCs w:val="20"/>
        </w:rPr>
        <w:t>I</w:t>
      </w:r>
      <w:r w:rsidR="00F97A60">
        <w:rPr>
          <w:rFonts w:ascii="Tahoma" w:hAnsi="Tahoma"/>
          <w:b/>
          <w:sz w:val="20"/>
          <w:szCs w:val="20"/>
        </w:rPr>
        <w:t xml:space="preserve"> ŽIROVNICA</w:t>
      </w:r>
    </w:p>
    <w:p w:rsidR="000C1A23" w:rsidRDefault="000C1A23"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cs="Tahoma"/>
          <w:b/>
          <w:sz w:val="20"/>
          <w:szCs w:val="20"/>
        </w:rPr>
      </w:pPr>
      <w:r>
        <w:rPr>
          <w:rFonts w:ascii="Tahoma" w:hAnsi="Tahoma" w:cs="Tahoma"/>
          <w:b/>
          <w:sz w:val="20"/>
          <w:szCs w:val="20"/>
        </w:rPr>
        <w:t>(</w:t>
      </w:r>
      <w:r w:rsidR="00AF3EE7">
        <w:rPr>
          <w:rFonts w:ascii="Tahoma" w:hAnsi="Tahoma" w:cs="Tahoma"/>
          <w:b/>
          <w:sz w:val="20"/>
          <w:szCs w:val="20"/>
        </w:rPr>
        <w:t>2</w:t>
      </w:r>
      <w:r w:rsidR="005560D0">
        <w:rPr>
          <w:rFonts w:ascii="Tahoma" w:hAnsi="Tahoma" w:cs="Tahoma"/>
          <w:b/>
          <w:sz w:val="20"/>
          <w:szCs w:val="20"/>
        </w:rPr>
        <w:t>. OBRAVNAVA</w:t>
      </w:r>
      <w:r>
        <w:rPr>
          <w:rFonts w:ascii="Tahoma" w:hAnsi="Tahoma" w:cs="Tahoma"/>
          <w:b/>
          <w:sz w:val="20"/>
          <w:szCs w:val="20"/>
        </w:rPr>
        <w:t>)</w:t>
      </w:r>
    </w:p>
    <w:p w:rsidR="00992DC4" w:rsidRDefault="00992DC4"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cs="Tahoma"/>
          <w:b/>
          <w:sz w:val="20"/>
          <w:szCs w:val="20"/>
        </w:rPr>
      </w:pPr>
    </w:p>
    <w:p w:rsidR="000C1A23" w:rsidRDefault="000C1A23" w:rsidP="000C1A23">
      <w:pPr>
        <w:jc w:val="both"/>
        <w:rPr>
          <w:rFonts w:ascii="Tahoma" w:hAnsi="Tahoma" w:cs="Tahoma"/>
          <w:sz w:val="20"/>
          <w:szCs w:val="20"/>
        </w:rPr>
      </w:pPr>
    </w:p>
    <w:p w:rsidR="005560D0" w:rsidRDefault="005560D0" w:rsidP="000C1A23">
      <w:pPr>
        <w:jc w:val="both"/>
        <w:rPr>
          <w:rFonts w:ascii="Tahoma" w:hAnsi="Tahoma" w:cs="Tahoma"/>
          <w:sz w:val="20"/>
          <w:szCs w:val="20"/>
        </w:rPr>
      </w:pPr>
    </w:p>
    <w:p w:rsidR="005560D0" w:rsidRPr="005560D0" w:rsidRDefault="005560D0" w:rsidP="000C1A23">
      <w:pPr>
        <w:jc w:val="both"/>
        <w:rPr>
          <w:rFonts w:ascii="Tahoma" w:hAnsi="Tahoma" w:cs="Tahoma"/>
          <w:b/>
          <w:sz w:val="20"/>
          <w:szCs w:val="20"/>
        </w:rPr>
      </w:pPr>
      <w:r w:rsidRPr="005560D0">
        <w:rPr>
          <w:rFonts w:ascii="Tahoma" w:hAnsi="Tahoma" w:cs="Tahoma"/>
          <w:b/>
          <w:sz w:val="20"/>
          <w:szCs w:val="20"/>
        </w:rPr>
        <w:t>UVOD</w:t>
      </w:r>
    </w:p>
    <w:p w:rsidR="00816456" w:rsidRDefault="00816456" w:rsidP="00816456">
      <w:pPr>
        <w:jc w:val="both"/>
        <w:rPr>
          <w:rFonts w:ascii="Tahoma" w:hAnsi="Tahoma" w:cs="Tahoma"/>
          <w:sz w:val="20"/>
          <w:szCs w:val="20"/>
        </w:rPr>
      </w:pPr>
    </w:p>
    <w:p w:rsidR="00AB4E97" w:rsidRDefault="00AB4E97" w:rsidP="00816456">
      <w:pPr>
        <w:jc w:val="both"/>
        <w:rPr>
          <w:rFonts w:ascii="Tahoma" w:hAnsi="Tahoma" w:cs="Tahoma"/>
          <w:sz w:val="20"/>
          <w:szCs w:val="20"/>
        </w:rPr>
      </w:pPr>
      <w:r>
        <w:rPr>
          <w:rFonts w:ascii="Tahoma" w:hAnsi="Tahoma" w:cs="Tahoma"/>
          <w:sz w:val="20"/>
          <w:szCs w:val="20"/>
        </w:rPr>
        <w:t>Občinski svet je predlog Odloka o sofinanciranju letnega programa športa v Občini Žirovnica (v nadaljevanju: odlok) v prvi obravnavi sprejel na svoji 1. redni seji dne 10.1.2019.</w:t>
      </w:r>
    </w:p>
    <w:p w:rsidR="00AB4E97" w:rsidRDefault="00AB4E97" w:rsidP="00816456">
      <w:pPr>
        <w:jc w:val="both"/>
        <w:rPr>
          <w:rFonts w:ascii="Tahoma" w:hAnsi="Tahoma" w:cs="Tahoma"/>
          <w:sz w:val="20"/>
          <w:szCs w:val="20"/>
        </w:rPr>
      </w:pPr>
    </w:p>
    <w:p w:rsidR="00C05B6C" w:rsidRPr="000B039C" w:rsidRDefault="00AB4E97" w:rsidP="003C103E">
      <w:pPr>
        <w:jc w:val="both"/>
        <w:rPr>
          <w:rFonts w:ascii="Tahoma" w:hAnsi="Tahoma" w:cs="Tahoma"/>
          <w:sz w:val="20"/>
          <w:szCs w:val="20"/>
        </w:rPr>
      </w:pPr>
      <w:r w:rsidRPr="000B039C">
        <w:rPr>
          <w:rFonts w:ascii="Tahoma" w:hAnsi="Tahoma" w:cs="Tahoma"/>
          <w:sz w:val="20"/>
          <w:szCs w:val="20"/>
        </w:rPr>
        <w:t xml:space="preserve">V razpravi </w:t>
      </w:r>
      <w:r w:rsidR="00C05B6C" w:rsidRPr="000B039C">
        <w:rPr>
          <w:rFonts w:ascii="Tahoma" w:hAnsi="Tahoma" w:cs="Tahoma"/>
          <w:sz w:val="20"/>
          <w:szCs w:val="20"/>
        </w:rPr>
        <w:t>je bila</w:t>
      </w:r>
      <w:r w:rsidRPr="000B039C">
        <w:rPr>
          <w:rFonts w:ascii="Tahoma" w:hAnsi="Tahoma" w:cs="Tahoma"/>
          <w:sz w:val="20"/>
          <w:szCs w:val="20"/>
        </w:rPr>
        <w:t xml:space="preserve"> na predlog odlo</w:t>
      </w:r>
      <w:r w:rsidR="00C05B6C" w:rsidRPr="000B039C">
        <w:rPr>
          <w:rFonts w:ascii="Tahoma" w:hAnsi="Tahoma" w:cs="Tahoma"/>
          <w:sz w:val="20"/>
          <w:szCs w:val="20"/>
        </w:rPr>
        <w:t>k</w:t>
      </w:r>
      <w:r w:rsidRPr="000B039C">
        <w:rPr>
          <w:rFonts w:ascii="Tahoma" w:hAnsi="Tahoma" w:cs="Tahoma"/>
          <w:sz w:val="20"/>
          <w:szCs w:val="20"/>
        </w:rPr>
        <w:t>a podan</w:t>
      </w:r>
      <w:r w:rsidR="00C05B6C" w:rsidRPr="000B039C">
        <w:rPr>
          <w:rFonts w:ascii="Tahoma" w:hAnsi="Tahoma" w:cs="Tahoma"/>
          <w:sz w:val="20"/>
          <w:szCs w:val="20"/>
        </w:rPr>
        <w:t>a</w:t>
      </w:r>
      <w:r w:rsidRPr="000B039C">
        <w:rPr>
          <w:rFonts w:ascii="Tahoma" w:hAnsi="Tahoma" w:cs="Tahoma"/>
          <w:sz w:val="20"/>
          <w:szCs w:val="20"/>
        </w:rPr>
        <w:t xml:space="preserve"> </w:t>
      </w:r>
      <w:r w:rsidR="001430CC" w:rsidRPr="000B039C">
        <w:rPr>
          <w:rFonts w:ascii="Tahoma" w:hAnsi="Tahoma" w:cs="Tahoma"/>
          <w:sz w:val="20"/>
          <w:szCs w:val="20"/>
        </w:rPr>
        <w:t xml:space="preserve">ena </w:t>
      </w:r>
      <w:r w:rsidRPr="000B039C">
        <w:rPr>
          <w:rFonts w:ascii="Tahoma" w:hAnsi="Tahoma" w:cs="Tahoma"/>
          <w:sz w:val="20"/>
          <w:szCs w:val="20"/>
        </w:rPr>
        <w:t>pripomb</w:t>
      </w:r>
      <w:r w:rsidR="00C05B6C" w:rsidRPr="000B039C">
        <w:rPr>
          <w:rFonts w:ascii="Tahoma" w:hAnsi="Tahoma" w:cs="Tahoma"/>
          <w:sz w:val="20"/>
          <w:szCs w:val="20"/>
        </w:rPr>
        <w:t>a</w:t>
      </w:r>
      <w:r w:rsidR="001430CC" w:rsidRPr="000B039C">
        <w:rPr>
          <w:rFonts w:ascii="Tahoma" w:hAnsi="Tahoma" w:cs="Tahoma"/>
          <w:sz w:val="20"/>
          <w:szCs w:val="20"/>
        </w:rPr>
        <w:t xml:space="preserve"> in sicer je s</w:t>
      </w:r>
      <w:r w:rsidRPr="000B039C">
        <w:rPr>
          <w:rFonts w:ascii="Tahoma" w:hAnsi="Tahoma" w:cs="Tahoma"/>
          <w:sz w:val="20"/>
          <w:szCs w:val="20"/>
        </w:rPr>
        <w:t xml:space="preserve">vetnik </w:t>
      </w:r>
      <w:r w:rsidR="003C103E" w:rsidRPr="000B039C">
        <w:rPr>
          <w:rFonts w:ascii="Tahoma" w:hAnsi="Tahoma" w:cs="Tahoma"/>
          <w:sz w:val="20"/>
          <w:szCs w:val="20"/>
        </w:rPr>
        <w:t xml:space="preserve">Jurij Dolžan </w:t>
      </w:r>
      <w:r w:rsidR="00C05B6C" w:rsidRPr="000B039C">
        <w:rPr>
          <w:rFonts w:ascii="Tahoma" w:hAnsi="Tahoma" w:cs="Tahoma"/>
          <w:sz w:val="20"/>
          <w:szCs w:val="20"/>
        </w:rPr>
        <w:t xml:space="preserve">predlagal, da se prostočasni športni programi šoloobveznih otrok (od 6 do 15 let) sofinancirajo v obsegu, ki bi bil višji od predlaganih </w:t>
      </w:r>
      <w:r w:rsidR="003C103E" w:rsidRPr="000B039C">
        <w:rPr>
          <w:rFonts w:ascii="Tahoma" w:hAnsi="Tahoma" w:cs="Tahoma"/>
          <w:sz w:val="20"/>
          <w:szCs w:val="20"/>
        </w:rPr>
        <w:t>80 ur športnih aktivnosti</w:t>
      </w:r>
      <w:r w:rsidR="00C05B6C" w:rsidRPr="000B039C">
        <w:rPr>
          <w:rFonts w:ascii="Tahoma" w:hAnsi="Tahoma" w:cs="Tahoma"/>
          <w:sz w:val="20"/>
          <w:szCs w:val="20"/>
        </w:rPr>
        <w:t xml:space="preserve"> v letu</w:t>
      </w:r>
      <w:r w:rsidR="001430CC" w:rsidRPr="000B039C">
        <w:rPr>
          <w:rFonts w:ascii="Tahoma" w:hAnsi="Tahoma" w:cs="Tahoma"/>
          <w:sz w:val="20"/>
          <w:szCs w:val="20"/>
        </w:rPr>
        <w:t>.</w:t>
      </w:r>
      <w:r w:rsidR="00C05B6C" w:rsidRPr="000B039C">
        <w:rPr>
          <w:rFonts w:ascii="Tahoma" w:hAnsi="Tahoma" w:cs="Tahoma"/>
          <w:sz w:val="20"/>
          <w:szCs w:val="20"/>
        </w:rPr>
        <w:t xml:space="preserve"> </w:t>
      </w:r>
      <w:r w:rsidR="001430CC" w:rsidRPr="000B039C">
        <w:rPr>
          <w:rFonts w:ascii="Tahoma" w:hAnsi="Tahoma" w:cs="Tahoma"/>
          <w:sz w:val="20"/>
          <w:szCs w:val="20"/>
        </w:rPr>
        <w:t xml:space="preserve">Predlagal je, da se sofinanciranje </w:t>
      </w:r>
      <w:r w:rsidR="00C05B6C" w:rsidRPr="000B039C">
        <w:rPr>
          <w:rFonts w:ascii="Tahoma" w:hAnsi="Tahoma" w:cs="Tahoma"/>
          <w:sz w:val="20"/>
          <w:szCs w:val="20"/>
        </w:rPr>
        <w:t>prostočasni</w:t>
      </w:r>
      <w:r w:rsidR="001430CC" w:rsidRPr="000B039C">
        <w:rPr>
          <w:rFonts w:ascii="Tahoma" w:hAnsi="Tahoma" w:cs="Tahoma"/>
          <w:sz w:val="20"/>
          <w:szCs w:val="20"/>
        </w:rPr>
        <w:t>h</w:t>
      </w:r>
      <w:r w:rsidR="00C05B6C" w:rsidRPr="000B039C">
        <w:rPr>
          <w:rFonts w:ascii="Tahoma" w:hAnsi="Tahoma" w:cs="Tahoma"/>
          <w:sz w:val="20"/>
          <w:szCs w:val="20"/>
        </w:rPr>
        <w:t xml:space="preserve"> športni</w:t>
      </w:r>
      <w:r w:rsidR="001430CC" w:rsidRPr="000B039C">
        <w:rPr>
          <w:rFonts w:ascii="Tahoma" w:hAnsi="Tahoma" w:cs="Tahoma"/>
          <w:sz w:val="20"/>
          <w:szCs w:val="20"/>
        </w:rPr>
        <w:t>h programov</w:t>
      </w:r>
      <w:r w:rsidR="00C05B6C" w:rsidRPr="000B039C">
        <w:rPr>
          <w:rFonts w:ascii="Tahoma" w:hAnsi="Tahoma" w:cs="Tahoma"/>
          <w:sz w:val="20"/>
          <w:szCs w:val="20"/>
        </w:rPr>
        <w:t xml:space="preserve"> izvaja v obsegu 200 ur letno (17. člen odloka). </w:t>
      </w:r>
    </w:p>
    <w:p w:rsidR="00C05B6C" w:rsidRPr="000B039C" w:rsidRDefault="00C05B6C" w:rsidP="003C103E">
      <w:pPr>
        <w:jc w:val="both"/>
        <w:rPr>
          <w:rFonts w:ascii="Tahoma" w:hAnsi="Tahoma" w:cs="Tahoma"/>
          <w:sz w:val="20"/>
          <w:szCs w:val="20"/>
        </w:rPr>
      </w:pPr>
      <w:r w:rsidRPr="000B039C">
        <w:rPr>
          <w:rFonts w:ascii="Tahoma" w:hAnsi="Tahoma" w:cs="Tahoma"/>
          <w:sz w:val="20"/>
          <w:szCs w:val="20"/>
        </w:rPr>
        <w:t>Njegovemu mnenju, da je obseg 80 ur vadbe</w:t>
      </w:r>
      <w:r w:rsidR="001430CC" w:rsidRPr="000B039C">
        <w:rPr>
          <w:rFonts w:ascii="Tahoma" w:hAnsi="Tahoma" w:cs="Tahoma"/>
          <w:sz w:val="20"/>
          <w:szCs w:val="20"/>
        </w:rPr>
        <w:t xml:space="preserve"> letno</w:t>
      </w:r>
      <w:r w:rsidRPr="000B039C">
        <w:rPr>
          <w:rFonts w:ascii="Tahoma" w:hAnsi="Tahoma" w:cs="Tahoma"/>
          <w:sz w:val="20"/>
          <w:szCs w:val="20"/>
        </w:rPr>
        <w:t>, za prostočasne športne programe šoloobveznih otrok premajhen, se je v razpravi pridružila tudi svetnica Vanja Resman Noč.</w:t>
      </w:r>
    </w:p>
    <w:p w:rsidR="00C2241A" w:rsidRPr="000B039C" w:rsidRDefault="00C2241A" w:rsidP="003C103E">
      <w:pPr>
        <w:jc w:val="both"/>
        <w:rPr>
          <w:rFonts w:ascii="Tahoma" w:hAnsi="Tahoma" w:cs="Tahoma"/>
          <w:sz w:val="20"/>
          <w:szCs w:val="20"/>
        </w:rPr>
      </w:pPr>
    </w:p>
    <w:p w:rsidR="00163139" w:rsidRPr="000B039C" w:rsidRDefault="009C12AD" w:rsidP="003C103E">
      <w:pPr>
        <w:jc w:val="both"/>
        <w:rPr>
          <w:rFonts w:ascii="Tahoma" w:hAnsi="Tahoma" w:cs="Tahoma"/>
          <w:sz w:val="20"/>
          <w:szCs w:val="20"/>
        </w:rPr>
      </w:pPr>
      <w:r w:rsidRPr="000B039C">
        <w:rPr>
          <w:rFonts w:ascii="Tahoma" w:hAnsi="Tahoma" w:cs="Tahoma"/>
          <w:sz w:val="20"/>
          <w:szCs w:val="20"/>
        </w:rPr>
        <w:t xml:space="preserve">Besedilo 17. člena odloka </w:t>
      </w:r>
      <w:r w:rsidR="00BF03B7" w:rsidRPr="000B039C">
        <w:rPr>
          <w:rFonts w:ascii="Tahoma" w:hAnsi="Tahoma" w:cs="Tahoma"/>
          <w:sz w:val="20"/>
          <w:szCs w:val="20"/>
        </w:rPr>
        <w:t xml:space="preserve">za drugo obravnavo </w:t>
      </w:r>
      <w:r w:rsidRPr="000B039C">
        <w:rPr>
          <w:rFonts w:ascii="Tahoma" w:hAnsi="Tahoma" w:cs="Tahoma"/>
          <w:sz w:val="20"/>
          <w:szCs w:val="20"/>
        </w:rPr>
        <w:t>ostaja nespremenjeno</w:t>
      </w:r>
      <w:r w:rsidR="00BF03B7" w:rsidRPr="000B039C">
        <w:rPr>
          <w:rFonts w:ascii="Tahoma" w:hAnsi="Tahoma" w:cs="Tahoma"/>
          <w:sz w:val="20"/>
          <w:szCs w:val="20"/>
        </w:rPr>
        <w:t xml:space="preserve">. Po priporočilih OKS-ZŠZ naj bi se </w:t>
      </w:r>
      <w:r w:rsidR="00E30D27" w:rsidRPr="000B039C">
        <w:rPr>
          <w:rFonts w:ascii="Tahoma" w:hAnsi="Tahoma" w:cs="Tahoma"/>
          <w:sz w:val="20"/>
          <w:szCs w:val="20"/>
        </w:rPr>
        <w:t xml:space="preserve">celoletni prostočasni športni programi šoloobveznih otrok izvajali v obsegu od 45 ur letno za predšolske otroke pa do 60 ur letno za osnovnošolske otroke in mladino. </w:t>
      </w:r>
    </w:p>
    <w:p w:rsidR="00755265" w:rsidRPr="000B039C" w:rsidRDefault="00163139" w:rsidP="003C103E">
      <w:pPr>
        <w:jc w:val="both"/>
        <w:rPr>
          <w:rFonts w:ascii="Tahoma" w:hAnsi="Tahoma" w:cs="Tahoma"/>
          <w:sz w:val="20"/>
          <w:szCs w:val="20"/>
        </w:rPr>
      </w:pPr>
      <w:r w:rsidRPr="000B039C">
        <w:rPr>
          <w:rFonts w:ascii="Tahoma" w:hAnsi="Tahoma" w:cs="Tahoma"/>
          <w:sz w:val="20"/>
          <w:szCs w:val="20"/>
        </w:rPr>
        <w:t xml:space="preserve">Že v veljavnem </w:t>
      </w:r>
      <w:r w:rsidR="00BF03B7" w:rsidRPr="000B039C">
        <w:rPr>
          <w:rFonts w:ascii="Tahoma" w:hAnsi="Tahoma" w:cs="Tahoma"/>
          <w:sz w:val="20"/>
          <w:szCs w:val="20"/>
        </w:rPr>
        <w:t>P</w:t>
      </w:r>
      <w:r w:rsidRPr="000B039C">
        <w:rPr>
          <w:rFonts w:ascii="Tahoma" w:hAnsi="Tahoma" w:cs="Tahoma"/>
          <w:sz w:val="20"/>
          <w:szCs w:val="20"/>
        </w:rPr>
        <w:t xml:space="preserve">ravilniku o vrednotenju letnega programa športa v Občini Žirovnica, ki je narejen na podlagi priporočil športnih strokovnjakov, je obseg interesne vadbe otrok in mladine (sedaj prostočasni športni programi), nekoliko višji od priporočil OKS_ZŠZ </w:t>
      </w:r>
      <w:r w:rsidR="00E30D27" w:rsidRPr="000B039C">
        <w:rPr>
          <w:rFonts w:ascii="Tahoma" w:hAnsi="Tahoma" w:cs="Tahoma"/>
          <w:sz w:val="20"/>
          <w:szCs w:val="20"/>
        </w:rPr>
        <w:t xml:space="preserve">in sicer </w:t>
      </w:r>
      <w:r w:rsidRPr="000B039C">
        <w:rPr>
          <w:rFonts w:ascii="Tahoma" w:hAnsi="Tahoma" w:cs="Tahoma"/>
          <w:sz w:val="20"/>
          <w:szCs w:val="20"/>
        </w:rPr>
        <w:t xml:space="preserve">se sofinancirajo </w:t>
      </w:r>
      <w:r w:rsidR="00E30D27" w:rsidRPr="000B039C">
        <w:rPr>
          <w:rFonts w:ascii="Tahoma" w:hAnsi="Tahoma" w:cs="Tahoma"/>
          <w:sz w:val="20"/>
          <w:szCs w:val="20"/>
        </w:rPr>
        <w:t>60 urni programi za predšolske otroke ter 80 urni programi za osnovnošolske otroke in mladino</w:t>
      </w:r>
      <w:r w:rsidRPr="000B039C">
        <w:rPr>
          <w:rFonts w:ascii="Tahoma" w:hAnsi="Tahoma" w:cs="Tahoma"/>
          <w:sz w:val="20"/>
          <w:szCs w:val="20"/>
        </w:rPr>
        <w:t xml:space="preserve">, kar je tudi praksa v veliko ostalih občinah po </w:t>
      </w:r>
      <w:r w:rsidR="00755265" w:rsidRPr="000B039C">
        <w:rPr>
          <w:rFonts w:ascii="Tahoma" w:hAnsi="Tahoma" w:cs="Tahoma"/>
          <w:sz w:val="20"/>
          <w:szCs w:val="20"/>
        </w:rPr>
        <w:t>Sloveniji</w:t>
      </w:r>
      <w:r w:rsidRPr="000B039C">
        <w:rPr>
          <w:rFonts w:ascii="Tahoma" w:hAnsi="Tahoma" w:cs="Tahoma"/>
          <w:sz w:val="20"/>
          <w:szCs w:val="20"/>
        </w:rPr>
        <w:t>.</w:t>
      </w:r>
      <w:r w:rsidR="00BF03B7" w:rsidRPr="000B039C">
        <w:rPr>
          <w:rFonts w:ascii="Tahoma" w:hAnsi="Tahoma" w:cs="Tahoma"/>
          <w:sz w:val="20"/>
          <w:szCs w:val="20"/>
        </w:rPr>
        <w:t xml:space="preserve"> Po priporočilih stroke je to nek normalen obseg organizirane interesne športne vadbe za otroke in mladino, ki ni del tekmovalnega športa.</w:t>
      </w:r>
    </w:p>
    <w:p w:rsidR="009C12AD" w:rsidRPr="000B039C" w:rsidRDefault="00755265" w:rsidP="003C103E">
      <w:pPr>
        <w:jc w:val="both"/>
        <w:rPr>
          <w:rFonts w:ascii="Tahoma" w:hAnsi="Tahoma" w:cs="Tahoma"/>
          <w:sz w:val="20"/>
          <w:szCs w:val="20"/>
        </w:rPr>
      </w:pPr>
      <w:r w:rsidRPr="000B039C">
        <w:rPr>
          <w:rFonts w:ascii="Tahoma" w:hAnsi="Tahoma" w:cs="Tahoma"/>
          <w:sz w:val="20"/>
          <w:szCs w:val="20"/>
        </w:rPr>
        <w:t>Menimo, da je obseg vadbe 200 ur letno za prostočasne športne programe preobsežen, saj športna vadba v takem obsegu pomeni že programe tekmovalnega športa otrok. Po predlaganih normativih iz odloka</w:t>
      </w:r>
      <w:r w:rsidR="00A0614E" w:rsidRPr="000B039C">
        <w:rPr>
          <w:rFonts w:ascii="Tahoma" w:hAnsi="Tahoma" w:cs="Tahoma"/>
          <w:sz w:val="20"/>
          <w:szCs w:val="20"/>
        </w:rPr>
        <w:t>,</w:t>
      </w:r>
      <w:r w:rsidRPr="000B039C">
        <w:rPr>
          <w:rFonts w:ascii="Tahoma" w:hAnsi="Tahoma" w:cs="Tahoma"/>
          <w:sz w:val="20"/>
          <w:szCs w:val="20"/>
        </w:rPr>
        <w:t xml:space="preserve"> naj bi otroci stari 10-11 let, vključeni v programe tekmovalnega športa opravili vadbo v obsegu 140 ur letno, otroci od 12-13 let pa vadbo v obsegu 210 ur letno.</w:t>
      </w:r>
      <w:r w:rsidR="00E30D27" w:rsidRPr="000B039C">
        <w:rPr>
          <w:rFonts w:ascii="Tahoma" w:hAnsi="Tahoma" w:cs="Tahoma"/>
          <w:sz w:val="20"/>
          <w:szCs w:val="20"/>
        </w:rPr>
        <w:t xml:space="preserve"> </w:t>
      </w:r>
      <w:r w:rsidRPr="000B039C">
        <w:rPr>
          <w:rFonts w:ascii="Tahoma" w:hAnsi="Tahoma" w:cs="Tahoma"/>
          <w:sz w:val="20"/>
          <w:szCs w:val="20"/>
        </w:rPr>
        <w:t>Glede na normative za obseg vadbe v programih tekmovalnega športa, menimo, da je predlagan obseg 80-urnih programov prostočasne športne vzgoje primeren, v kolikor bi ga višali</w:t>
      </w:r>
      <w:r w:rsidR="00A0614E" w:rsidRPr="000B039C">
        <w:rPr>
          <w:rFonts w:ascii="Tahoma" w:hAnsi="Tahoma" w:cs="Tahoma"/>
          <w:sz w:val="20"/>
          <w:szCs w:val="20"/>
        </w:rPr>
        <w:t>,</w:t>
      </w:r>
      <w:r w:rsidRPr="000B039C">
        <w:rPr>
          <w:rFonts w:ascii="Tahoma" w:hAnsi="Tahoma" w:cs="Tahoma"/>
          <w:sz w:val="20"/>
          <w:szCs w:val="20"/>
        </w:rPr>
        <w:t xml:space="preserve"> bi porušili razmerja med prostočasnimi športnimi programi in </w:t>
      </w:r>
      <w:r w:rsidR="00A0614E" w:rsidRPr="000B039C">
        <w:rPr>
          <w:rFonts w:ascii="Tahoma" w:hAnsi="Tahoma" w:cs="Tahoma"/>
          <w:sz w:val="20"/>
          <w:szCs w:val="20"/>
        </w:rPr>
        <w:t>programi tekmovalnega športa, na škodo tekmovalnega športa v občini.</w:t>
      </w:r>
      <w:r w:rsidR="0052062F" w:rsidRPr="000B039C">
        <w:rPr>
          <w:rFonts w:ascii="Tahoma" w:hAnsi="Tahoma" w:cs="Tahoma"/>
          <w:sz w:val="20"/>
          <w:szCs w:val="20"/>
        </w:rPr>
        <w:t xml:space="preserve"> Ne nazadnje je tak obseg sofinanciranja interesne vadbe v skladu s priporočili športne stroke, ki deluje pod okriljem OKS-ZŠZ, tak obseg sofinanciranja interesne vadbe otrok v naši občini je v veljavi vse od njene ustanovitve, podobna praksa je tudi v ostalih občinah, zato ni nobenega utemeljenega razloga da bi ta normativ spreminjali.</w:t>
      </w:r>
    </w:p>
    <w:p w:rsidR="002550AB" w:rsidRPr="000B039C" w:rsidRDefault="002550AB" w:rsidP="003C103E">
      <w:pPr>
        <w:jc w:val="both"/>
        <w:rPr>
          <w:rFonts w:ascii="Tahoma" w:hAnsi="Tahoma" w:cs="Tahoma"/>
          <w:sz w:val="20"/>
          <w:szCs w:val="20"/>
        </w:rPr>
      </w:pPr>
    </w:p>
    <w:p w:rsidR="002550AB" w:rsidRDefault="00114426" w:rsidP="003C103E">
      <w:pPr>
        <w:jc w:val="both"/>
        <w:rPr>
          <w:rFonts w:ascii="Tahoma" w:hAnsi="Tahoma" w:cs="Tahoma"/>
          <w:sz w:val="20"/>
          <w:szCs w:val="20"/>
        </w:rPr>
      </w:pPr>
      <w:r>
        <w:rPr>
          <w:rFonts w:ascii="Tahoma" w:hAnsi="Tahoma" w:cs="Tahoma"/>
          <w:sz w:val="20"/>
          <w:szCs w:val="20"/>
        </w:rPr>
        <w:t>Spremembe besedila odloka med prvo in drugo obravnavo.</w:t>
      </w:r>
    </w:p>
    <w:p w:rsidR="002550AB" w:rsidRDefault="002550AB" w:rsidP="003C103E">
      <w:pPr>
        <w:jc w:val="both"/>
        <w:rPr>
          <w:rFonts w:ascii="Tahoma" w:hAnsi="Tahoma" w:cs="Tahoma"/>
          <w:sz w:val="20"/>
          <w:szCs w:val="20"/>
        </w:rPr>
      </w:pPr>
      <w:r>
        <w:rPr>
          <w:rFonts w:ascii="Tahoma" w:hAnsi="Tahoma" w:cs="Tahoma"/>
          <w:sz w:val="20"/>
          <w:szCs w:val="20"/>
        </w:rPr>
        <w:t>Glede na razpravo na predlog odloka, ki je tekla na Odboru za negospodarstvo in družbene dejavnosti, ki sicer konkretnih pripomb na besedilo členov ni imel ter zaradi večje jasnosti besedila je bil nekoliko korigiran 6. člen odloka in sicer na način, da se je črtal prvi odstavek, saj sta se prvi in drugi odstavek v bistvu ponavljala. Tako pa je v popravljenem besedilu točno določeno, da se vsi športni programi oz. področja športa točkujejo, razen v primerih če je izvajalec eden oziroma, če je vednost programa lažje izračunati po dejanskih stroških.</w:t>
      </w:r>
    </w:p>
    <w:p w:rsidR="00C05B6C" w:rsidRDefault="002550AB" w:rsidP="003C103E">
      <w:pPr>
        <w:jc w:val="both"/>
        <w:rPr>
          <w:rFonts w:ascii="Tahoma" w:hAnsi="Tahoma" w:cs="Tahoma"/>
          <w:sz w:val="20"/>
          <w:szCs w:val="20"/>
        </w:rPr>
      </w:pPr>
      <w:r>
        <w:rPr>
          <w:rFonts w:ascii="Tahoma" w:hAnsi="Tahoma" w:cs="Tahoma"/>
          <w:sz w:val="20"/>
          <w:szCs w:val="20"/>
        </w:rPr>
        <w:t xml:space="preserve">Prav tako je na podlagi pripombe dr. Božidarja </w:t>
      </w:r>
      <w:proofErr w:type="spellStart"/>
      <w:r>
        <w:rPr>
          <w:rFonts w:ascii="Tahoma" w:hAnsi="Tahoma" w:cs="Tahoma"/>
          <w:sz w:val="20"/>
          <w:szCs w:val="20"/>
        </w:rPr>
        <w:t>Brudarja</w:t>
      </w:r>
      <w:proofErr w:type="spellEnd"/>
      <w:r>
        <w:rPr>
          <w:rFonts w:ascii="Tahoma" w:hAnsi="Tahoma" w:cs="Tahoma"/>
          <w:sz w:val="20"/>
          <w:szCs w:val="20"/>
        </w:rPr>
        <w:t>, dane na seji občinskega sveta, zaradi boljše določnosti oz. jasnosti, v 68. členu odloka, pri tabeli 6</w:t>
      </w:r>
      <w:r w:rsidR="00114426">
        <w:rPr>
          <w:rFonts w:ascii="Tahoma" w:hAnsi="Tahoma" w:cs="Tahoma"/>
          <w:sz w:val="20"/>
          <w:szCs w:val="20"/>
        </w:rPr>
        <w:t>,</w:t>
      </w:r>
      <w:r>
        <w:rPr>
          <w:rFonts w:ascii="Tahoma" w:hAnsi="Tahoma" w:cs="Tahoma"/>
          <w:sz w:val="20"/>
          <w:szCs w:val="20"/>
        </w:rPr>
        <w:t xml:space="preserve"> dodano besedilo</w:t>
      </w:r>
      <w:r w:rsidR="00114426">
        <w:rPr>
          <w:rFonts w:ascii="Tahoma" w:hAnsi="Tahoma" w:cs="Tahoma"/>
          <w:sz w:val="20"/>
          <w:szCs w:val="20"/>
        </w:rPr>
        <w:t>:</w:t>
      </w:r>
      <w:r>
        <w:rPr>
          <w:rFonts w:ascii="Tahoma" w:hAnsi="Tahoma" w:cs="Tahoma"/>
          <w:sz w:val="20"/>
          <w:szCs w:val="20"/>
        </w:rPr>
        <w:t xml:space="preserve"> </w:t>
      </w:r>
      <w:r w:rsidR="00114426">
        <w:rPr>
          <w:rFonts w:ascii="Tahoma" w:hAnsi="Tahoma" w:cs="Tahoma"/>
          <w:sz w:val="20"/>
          <w:szCs w:val="20"/>
        </w:rPr>
        <w:t>(</w:t>
      </w:r>
      <w:r w:rsidRPr="00C5125B">
        <w:rPr>
          <w:rFonts w:ascii="Tahoma" w:eastAsiaTheme="minorHAnsi" w:hAnsi="Tahoma" w:cs="Tahoma"/>
          <w:sz w:val="20"/>
          <w:szCs w:val="20"/>
          <w:lang w:eastAsia="en-US"/>
        </w:rPr>
        <w:t>točke/prireditev</w:t>
      </w:r>
      <w:r w:rsidR="00114426">
        <w:rPr>
          <w:rFonts w:ascii="Tahoma" w:eastAsiaTheme="minorHAnsi" w:hAnsi="Tahoma" w:cs="Tahoma"/>
          <w:sz w:val="20"/>
          <w:szCs w:val="20"/>
          <w:lang w:eastAsia="en-US"/>
        </w:rPr>
        <w:t>)</w:t>
      </w:r>
    </w:p>
    <w:p w:rsidR="00C05B6C" w:rsidRDefault="00114426" w:rsidP="003C103E">
      <w:pPr>
        <w:jc w:val="both"/>
        <w:rPr>
          <w:rFonts w:ascii="Tahoma" w:hAnsi="Tahoma" w:cs="Tahoma"/>
          <w:sz w:val="20"/>
          <w:szCs w:val="20"/>
        </w:rPr>
      </w:pPr>
      <w:r>
        <w:rPr>
          <w:rFonts w:ascii="Tahoma" w:hAnsi="Tahoma" w:cs="Tahoma"/>
          <w:sz w:val="20"/>
          <w:szCs w:val="20"/>
        </w:rPr>
        <w:t>Drugih sprememb besedila predloga odloka za drugo obravnavo na občinskem svetu</w:t>
      </w:r>
      <w:r w:rsidR="0016155E">
        <w:rPr>
          <w:rFonts w:ascii="Tahoma" w:hAnsi="Tahoma" w:cs="Tahoma"/>
          <w:sz w:val="20"/>
          <w:szCs w:val="20"/>
        </w:rPr>
        <w:t xml:space="preserve"> ni predlaganih.</w:t>
      </w:r>
    </w:p>
    <w:p w:rsidR="00C05B6C" w:rsidRPr="00C05B6C" w:rsidRDefault="00C05B6C" w:rsidP="003C103E">
      <w:pPr>
        <w:jc w:val="both"/>
        <w:rPr>
          <w:rFonts w:ascii="Tahoma" w:hAnsi="Tahoma" w:cs="Tahoma"/>
          <w:sz w:val="20"/>
          <w:szCs w:val="20"/>
        </w:rPr>
      </w:pPr>
    </w:p>
    <w:p w:rsidR="002E36E7" w:rsidRPr="002E36E7" w:rsidRDefault="002E36E7" w:rsidP="000C1A23">
      <w:pPr>
        <w:jc w:val="both"/>
        <w:rPr>
          <w:rFonts w:ascii="Tahoma" w:hAnsi="Tahoma" w:cs="Tahoma"/>
          <w:sz w:val="20"/>
          <w:szCs w:val="20"/>
        </w:rPr>
      </w:pPr>
    </w:p>
    <w:p w:rsidR="00C5447A" w:rsidRDefault="00C5447A">
      <w:pPr>
        <w:rPr>
          <w:rFonts w:ascii="Tahoma" w:hAnsi="Tahoma" w:cs="Tahoma"/>
          <w:b/>
          <w:sz w:val="20"/>
          <w:szCs w:val="20"/>
        </w:rPr>
      </w:pPr>
      <w:r>
        <w:rPr>
          <w:rFonts w:ascii="Tahoma" w:hAnsi="Tahoma" w:cs="Tahoma"/>
          <w:b/>
          <w:sz w:val="20"/>
          <w:szCs w:val="20"/>
        </w:rPr>
        <w:br w:type="page"/>
      </w:r>
    </w:p>
    <w:p w:rsidR="005560D0" w:rsidRPr="00A23006" w:rsidRDefault="005560D0" w:rsidP="005560D0">
      <w:pPr>
        <w:jc w:val="both"/>
        <w:rPr>
          <w:rFonts w:ascii="Tahoma" w:hAnsi="Tahoma" w:cs="Tahoma"/>
          <w:b/>
          <w:sz w:val="20"/>
          <w:szCs w:val="20"/>
        </w:rPr>
      </w:pPr>
      <w:r w:rsidRPr="002E36E7">
        <w:rPr>
          <w:rFonts w:ascii="Tahoma" w:hAnsi="Tahoma" w:cs="Tahoma"/>
          <w:b/>
          <w:sz w:val="20"/>
          <w:szCs w:val="20"/>
        </w:rPr>
        <w:lastRenderedPageBreak/>
        <w:t>BESEDILO ODLOKA</w:t>
      </w:r>
    </w:p>
    <w:p w:rsidR="002E36E7" w:rsidRDefault="002E36E7" w:rsidP="000C1A23">
      <w:pPr>
        <w:jc w:val="both"/>
        <w:rPr>
          <w:rFonts w:ascii="Tahoma" w:hAnsi="Tahoma" w:cs="Tahoma"/>
          <w:sz w:val="20"/>
          <w:szCs w:val="20"/>
        </w:rPr>
      </w:pP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 podlagi 16. člena Zakona o športu (</w:t>
      </w:r>
      <w:proofErr w:type="spellStart"/>
      <w:r w:rsidRPr="002E36E7">
        <w:rPr>
          <w:rFonts w:ascii="Tahoma" w:eastAsiaTheme="minorHAnsi" w:hAnsi="Tahoma" w:cs="Tahoma"/>
          <w:sz w:val="20"/>
          <w:szCs w:val="20"/>
          <w:lang w:eastAsia="en-US"/>
        </w:rPr>
        <w:t>ZŠpo</w:t>
      </w:r>
      <w:proofErr w:type="spellEnd"/>
      <w:r w:rsidRPr="002E36E7">
        <w:rPr>
          <w:rFonts w:ascii="Tahoma" w:eastAsiaTheme="minorHAnsi" w:hAnsi="Tahoma" w:cs="Tahoma"/>
          <w:sz w:val="20"/>
          <w:szCs w:val="20"/>
          <w:lang w:eastAsia="en-US"/>
        </w:rPr>
        <w:t>-1) (Ur.l. RS, št. 29/17 in 21/18), in 18. člena Statuta Občine Žirovnica (Ur. l. RS, št. 23/99, 55/11-UPB1, 76/12, 19/13, 50/14, 85/16, 7/17-</w:t>
      </w:r>
      <w:proofErr w:type="spellStart"/>
      <w:r w:rsidRPr="002E36E7">
        <w:rPr>
          <w:rFonts w:ascii="Tahoma" w:eastAsiaTheme="minorHAnsi" w:hAnsi="Tahoma" w:cs="Tahoma"/>
          <w:sz w:val="20"/>
          <w:szCs w:val="20"/>
          <w:lang w:eastAsia="en-US"/>
        </w:rPr>
        <w:t>popr</w:t>
      </w:r>
      <w:proofErr w:type="spellEnd"/>
      <w:r w:rsidRPr="002E36E7">
        <w:rPr>
          <w:rFonts w:ascii="Tahoma" w:eastAsiaTheme="minorHAnsi" w:hAnsi="Tahoma" w:cs="Tahoma"/>
          <w:sz w:val="20"/>
          <w:szCs w:val="20"/>
          <w:lang w:eastAsia="en-US"/>
        </w:rPr>
        <w:t>., 48/18)</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Odlok o sofinanciranju letnega programa športa v Občini Žirovnica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 SPLOŠNE DOLOČBE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odloka)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Ta odlok določa: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izvajalce letnega programa športa (v nadaljevanju: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pogoje in merila za izbiro in sofinanciranje izvajanja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postopek izbire in sofinanciranja izvajanja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 sklepanja in vsebino pogodb o sofinanciranju,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 izvajanja nadzora nad pogodbami o sofinanciranju.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Obseg sofinanciranja področij športa v javnem interesu, določi Občinski svet Občine Žirovnica z vsakoletnim proračunom in vsakoletnim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(javni interes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Javni interes na področju športa v občini Žirovnica se v skladu z Zakonom o športu, določi v vsakoletnem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(načini uresničevanja javnega interesa)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Občina uresničuje javni interes na področju športa: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 zagotavljanjem proračunskih sredstev za izvedbo LPŠ,</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 načrtovanjem, gradnjo, posodabljanjem in vzdrževanjem lokalno pomembnih športnih objektov in površin za šport v naravi, ki so v njeni lasti,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 spodbujanjem in zagotavljanjem pogojev za izvajanje in razvoj športnih dejavnosti.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(programi in področja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Ta odlok določa merila za sofinanciranje naslednjih programov in področij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Športni programi: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prostočasna športna vzgoja otrok in mladine,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vzgoja otrok in mladine s posebnimi potrebami,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proofErr w:type="spellStart"/>
      <w:r w:rsidRPr="002E36E7">
        <w:rPr>
          <w:rFonts w:ascii="Tahoma" w:eastAsiaTheme="minorHAnsi" w:hAnsi="Tahoma" w:cs="Tahoma"/>
          <w:sz w:val="20"/>
          <w:szCs w:val="20"/>
          <w:lang w:eastAsia="en-US"/>
        </w:rPr>
        <w:t>obštudijske</w:t>
      </w:r>
      <w:proofErr w:type="spellEnd"/>
      <w:r w:rsidRPr="002E36E7">
        <w:rPr>
          <w:rFonts w:ascii="Tahoma" w:eastAsiaTheme="minorHAnsi" w:hAnsi="Tahoma" w:cs="Tahoma"/>
          <w:sz w:val="20"/>
          <w:szCs w:val="20"/>
          <w:lang w:eastAsia="en-US"/>
        </w:rPr>
        <w:t xml:space="preserve"> športne dejavnosti,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vzgoja otrok in mladine, usmerjenih v kakovostni in vrhunski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kakovostni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vrhunski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 invalidov,</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rekreacija,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 starejših,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Investicije v športne objekte in površine za šport v naravi,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Razvojnih dejavnosti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izobraževanje, usposabljanje in izpopolnjevanje strokovnih kadrov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statusne pravice športnikov in trenerjev,</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založništvo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znanstveno raziskovalna dejavnost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informacijsko komunikacijska tehnologija na področju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Organiziranosti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Športnih prireditev in promocije športa,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športne prireditve,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javno obveščanje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športna dediščina in muzejska dejavnost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6. Družbene in okoljske odgovornosti v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Javni interes na področju športa se opredeli z vsakoletnim LPŠ, ki mora biti usklajen z NPŠ.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(postopek izbire in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Izbor in sofinanciranje programov in področij določenih v LPŠ se izvede na podlagi javnega razpisa v skladu z zakonom o športu in tem odlokom.</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114426" w:rsidRDefault="002E36E7" w:rsidP="002E36E7">
      <w:pPr>
        <w:spacing w:line="276" w:lineRule="auto"/>
        <w:jc w:val="center"/>
        <w:rPr>
          <w:rFonts w:ascii="Tahoma" w:eastAsiaTheme="minorHAnsi" w:hAnsi="Tahoma" w:cs="Tahoma"/>
          <w:sz w:val="20"/>
          <w:szCs w:val="20"/>
          <w:lang w:eastAsia="en-US"/>
        </w:rPr>
      </w:pPr>
      <w:r w:rsidRPr="00114426">
        <w:rPr>
          <w:rFonts w:ascii="Tahoma" w:eastAsiaTheme="minorHAnsi" w:hAnsi="Tahoma" w:cs="Tahoma"/>
          <w:sz w:val="20"/>
          <w:szCs w:val="20"/>
          <w:lang w:eastAsia="en-US"/>
        </w:rPr>
        <w:t>6. člen</w:t>
      </w:r>
    </w:p>
    <w:p w:rsidR="002E36E7" w:rsidRPr="00114426" w:rsidRDefault="002E36E7" w:rsidP="002E36E7">
      <w:pPr>
        <w:spacing w:line="276" w:lineRule="auto"/>
        <w:jc w:val="center"/>
        <w:rPr>
          <w:rFonts w:ascii="Tahoma" w:eastAsiaTheme="minorHAnsi" w:hAnsi="Tahoma" w:cs="Tahoma"/>
          <w:sz w:val="20"/>
          <w:szCs w:val="20"/>
          <w:lang w:eastAsia="en-US"/>
        </w:rPr>
      </w:pPr>
      <w:r w:rsidRPr="00114426">
        <w:rPr>
          <w:rFonts w:ascii="Tahoma" w:eastAsiaTheme="minorHAnsi" w:hAnsi="Tahoma" w:cs="Tahoma"/>
          <w:sz w:val="20"/>
          <w:szCs w:val="20"/>
          <w:lang w:eastAsia="en-US"/>
        </w:rPr>
        <w:t>(določanje višine sofinanciranja)</w:t>
      </w:r>
    </w:p>
    <w:p w:rsidR="002E36E7" w:rsidRPr="00114426" w:rsidRDefault="002E36E7" w:rsidP="002E36E7">
      <w:pPr>
        <w:spacing w:line="276" w:lineRule="auto"/>
        <w:jc w:val="both"/>
        <w:rPr>
          <w:rFonts w:ascii="Tahoma" w:eastAsiaTheme="minorHAnsi" w:hAnsi="Tahoma" w:cs="Tahoma"/>
          <w:sz w:val="20"/>
          <w:szCs w:val="20"/>
          <w:lang w:eastAsia="en-US"/>
        </w:rPr>
      </w:pPr>
      <w:r w:rsidRPr="00114426">
        <w:rPr>
          <w:rFonts w:ascii="Tahoma" w:eastAsiaTheme="minorHAnsi" w:hAnsi="Tahoma" w:cs="Tahoma"/>
          <w:sz w:val="20"/>
          <w:szCs w:val="20"/>
          <w:lang w:eastAsia="en-US"/>
        </w:rPr>
        <w:t>(</w:t>
      </w:r>
      <w:r w:rsidR="002009E0" w:rsidRPr="00114426">
        <w:rPr>
          <w:rFonts w:ascii="Tahoma" w:eastAsiaTheme="minorHAnsi" w:hAnsi="Tahoma" w:cs="Tahoma"/>
          <w:sz w:val="20"/>
          <w:szCs w:val="20"/>
          <w:lang w:eastAsia="en-US"/>
        </w:rPr>
        <w:t>1</w:t>
      </w:r>
      <w:r w:rsidRPr="00114426">
        <w:rPr>
          <w:rFonts w:ascii="Tahoma" w:eastAsiaTheme="minorHAnsi" w:hAnsi="Tahoma" w:cs="Tahoma"/>
          <w:sz w:val="20"/>
          <w:szCs w:val="20"/>
          <w:lang w:eastAsia="en-US"/>
        </w:rPr>
        <w:t xml:space="preserve">) Posamezni programi in področja LPŠ </w:t>
      </w:r>
      <w:r w:rsidR="002009E0" w:rsidRPr="00114426">
        <w:rPr>
          <w:rFonts w:ascii="Tahoma" w:eastAsiaTheme="minorHAnsi" w:hAnsi="Tahoma" w:cs="Tahoma"/>
          <w:sz w:val="20"/>
          <w:szCs w:val="20"/>
          <w:lang w:eastAsia="en-US"/>
        </w:rPr>
        <w:t xml:space="preserve">se </w:t>
      </w:r>
      <w:r w:rsidRPr="00114426">
        <w:rPr>
          <w:rFonts w:ascii="Tahoma" w:eastAsiaTheme="minorHAnsi" w:hAnsi="Tahoma" w:cs="Tahoma"/>
          <w:sz w:val="20"/>
          <w:szCs w:val="20"/>
          <w:lang w:eastAsia="en-US"/>
        </w:rPr>
        <w:t>ovrednotijo:</w:t>
      </w:r>
    </w:p>
    <w:p w:rsidR="002E36E7" w:rsidRPr="00114426"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114426">
        <w:rPr>
          <w:rFonts w:ascii="Tahoma" w:eastAsiaTheme="minorHAnsi" w:hAnsi="Tahoma" w:cs="Tahoma"/>
          <w:sz w:val="20"/>
          <w:szCs w:val="20"/>
          <w:lang w:eastAsia="en-US"/>
        </w:rPr>
        <w:t>s številom točk</w:t>
      </w:r>
      <w:r w:rsidR="002009E0" w:rsidRPr="00114426">
        <w:rPr>
          <w:rFonts w:ascii="Tahoma" w:eastAsiaTheme="minorHAnsi" w:hAnsi="Tahoma" w:cs="Tahoma"/>
          <w:sz w:val="20"/>
          <w:szCs w:val="20"/>
          <w:lang w:eastAsia="en-US"/>
        </w:rPr>
        <w:t xml:space="preserve"> ali</w:t>
      </w:r>
    </w:p>
    <w:p w:rsidR="002E36E7" w:rsidRPr="00114426"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114426">
        <w:rPr>
          <w:rFonts w:ascii="Tahoma" w:eastAsiaTheme="minorHAnsi" w:hAnsi="Tahoma" w:cs="Tahoma"/>
          <w:sz w:val="20"/>
          <w:szCs w:val="20"/>
          <w:lang w:eastAsia="en-US"/>
        </w:rPr>
        <w:t>z višino zneska za povračilo dejanskih stroškov.</w:t>
      </w:r>
    </w:p>
    <w:p w:rsidR="002E36E7" w:rsidRPr="00114426" w:rsidRDefault="002E36E7" w:rsidP="002E36E7">
      <w:pPr>
        <w:spacing w:line="276" w:lineRule="auto"/>
        <w:jc w:val="both"/>
        <w:rPr>
          <w:rFonts w:ascii="Tahoma" w:eastAsiaTheme="minorHAnsi" w:hAnsi="Tahoma" w:cs="Tahoma"/>
          <w:sz w:val="20"/>
          <w:szCs w:val="20"/>
          <w:lang w:eastAsia="en-US"/>
        </w:rPr>
      </w:pPr>
      <w:r w:rsidRPr="00114426">
        <w:rPr>
          <w:rFonts w:ascii="Tahoma" w:eastAsiaTheme="minorHAnsi" w:hAnsi="Tahoma" w:cs="Tahoma"/>
          <w:sz w:val="20"/>
          <w:szCs w:val="20"/>
          <w:lang w:eastAsia="en-US"/>
        </w:rPr>
        <w:t>(</w:t>
      </w:r>
      <w:r w:rsidR="002009E0" w:rsidRPr="00114426">
        <w:rPr>
          <w:rFonts w:ascii="Tahoma" w:eastAsiaTheme="minorHAnsi" w:hAnsi="Tahoma" w:cs="Tahoma"/>
          <w:sz w:val="20"/>
          <w:szCs w:val="20"/>
          <w:lang w:eastAsia="en-US"/>
        </w:rPr>
        <w:t>2</w:t>
      </w:r>
      <w:r w:rsidRPr="00114426">
        <w:rPr>
          <w:rFonts w:ascii="Tahoma" w:eastAsiaTheme="minorHAnsi" w:hAnsi="Tahoma" w:cs="Tahoma"/>
          <w:sz w:val="20"/>
          <w:szCs w:val="20"/>
          <w:lang w:eastAsia="en-US"/>
        </w:rPr>
        <w:t>) V točkah se vrednotijo športni programi</w:t>
      </w:r>
      <w:r w:rsidR="002009E0" w:rsidRPr="00114426">
        <w:rPr>
          <w:rFonts w:ascii="Tahoma" w:eastAsiaTheme="minorHAnsi" w:hAnsi="Tahoma" w:cs="Tahoma"/>
          <w:sz w:val="20"/>
          <w:szCs w:val="20"/>
          <w:lang w:eastAsia="en-US"/>
        </w:rPr>
        <w:t xml:space="preserve"> in področja športa</w:t>
      </w:r>
      <w:r w:rsidRPr="00114426">
        <w:rPr>
          <w:rFonts w:ascii="Tahoma" w:eastAsiaTheme="minorHAnsi" w:hAnsi="Tahoma" w:cs="Tahoma"/>
          <w:sz w:val="20"/>
          <w:szCs w:val="20"/>
          <w:lang w:eastAsia="en-US"/>
        </w:rPr>
        <w:t>, pri čemer se lahko vrednost točke med posameznimi programi razlikuje ali pa je ta za določeno skupino programov ali pa za vse programe enaka. Športne programe in področja športa, pri katerih bo vrednost točke enaka, se določi v javnem razpisu. Vrednost točke dobimo tako, da denarna sredstva namenjena posameznim športnim programom ali skupini športnih programov, delimo s seštevkom točk vseh programov, s katerimi so izvajalci športnih programov kandidirali na javnem razpisu.</w:t>
      </w:r>
    </w:p>
    <w:p w:rsidR="002E36E7" w:rsidRPr="00114426" w:rsidRDefault="002E36E7" w:rsidP="002E36E7">
      <w:pPr>
        <w:spacing w:line="276" w:lineRule="auto"/>
        <w:jc w:val="both"/>
        <w:rPr>
          <w:rFonts w:ascii="Tahoma" w:eastAsiaTheme="minorHAnsi" w:hAnsi="Tahoma" w:cs="Tahoma"/>
          <w:sz w:val="20"/>
          <w:szCs w:val="20"/>
          <w:lang w:eastAsia="en-US"/>
        </w:rPr>
      </w:pPr>
      <w:r w:rsidRPr="00114426">
        <w:rPr>
          <w:rFonts w:ascii="Tahoma" w:eastAsiaTheme="minorHAnsi" w:hAnsi="Tahoma" w:cs="Tahoma"/>
          <w:sz w:val="20"/>
          <w:szCs w:val="20"/>
          <w:lang w:eastAsia="en-US"/>
        </w:rPr>
        <w:t>(</w:t>
      </w:r>
      <w:r w:rsidR="002009E0" w:rsidRPr="00114426">
        <w:rPr>
          <w:rFonts w:ascii="Tahoma" w:eastAsiaTheme="minorHAnsi" w:hAnsi="Tahoma" w:cs="Tahoma"/>
          <w:sz w:val="20"/>
          <w:szCs w:val="20"/>
          <w:lang w:eastAsia="en-US"/>
        </w:rPr>
        <w:t>3</w:t>
      </w:r>
      <w:r w:rsidRPr="00114426">
        <w:rPr>
          <w:rFonts w:ascii="Tahoma" w:eastAsiaTheme="minorHAnsi" w:hAnsi="Tahoma" w:cs="Tahoma"/>
          <w:sz w:val="20"/>
          <w:szCs w:val="20"/>
          <w:lang w:eastAsia="en-US"/>
        </w:rPr>
        <w:t>) Z višino zneska za povračilo dejanskih stroškov se vrednotijo športni programi in področja športa pri katerih nastopa en sam izvajalec, ali pa je vrednost programa lažje izračunati po dejanskih stroških.</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(izvajalci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Za sofinanciranje področij in programov lahko kandidirajo izvajalci LPŠ, ki so določeni v zakonu o športu in tem odloku.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za vključitev v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Pravico do vključitve v LPŠ imajo izvajalci športnih programov, ki izpolnjujejo naslednje pogoje: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imajo sedež v občini,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športno dejavnost opravljajo pretežno na območju občine in pretežno za prebivalce občine,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najmanj eno leto pred letom, za katerega kandidirajo na javnem razpisu, neprekinjeno izvajajo športne programe namenjene občanom in občankam občine,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imajo za izvedbo na javni razpis prijavljenih programov zagotovljene materialne, prostorske in organizacijske pogoje ter ustrezno izobražen ali usposobljen kader za opravljanje strokovnega dela v športu,</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imajo urejeno evidenco članstva (športna društva in zveze športnih društev) ter evidenco o udeležencih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izpolnjujejo druge pogoje, določene s tem odlokom, LPŠ in razpisno dokumentacijo.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(prednost pri izvajanju LPŠ)</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Športna društva imajo pod enakimi pogoji prednost pri izvajanju LPŠ pred ostalimi izvajalci športnih programov, ki kandidirajo na javnem razpisu.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javnih športnih objektov in površin)</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Športna društva, ki izvajajo LPŠ, imajo za izvajanje le-tega, prednost pri uporabi javnih športnih objektov in površin za šport v naravi pred drugimi izvajalci in uporabniki.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Obvezni programi šolske športne vzgoje, ki se izvajajo v (na) javnih športnih objektih in površinah za šport v naravi, imajo prednost pred izvajalci LPŠ in drugimi uporabniki.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II. ŠPORTNI PROGRAMI</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1. Splošne določbe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(pomen izrazov)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Posamezni izrazi v tem odloku imajo naslednji pomen:</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Tekmovalni šport – športni programi športne vzgoje otrok in mladine usmerjenih v kakovostni in vrhunski šport, kakovostnega športa in vrhunskega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Tekmovalna sezona – enoletno obdobje, v katerem ostanejo letniki tekmovalnih starostnih kategorij nespremenjeni.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Tekoča tekmovalna sezona – tekmovalna sezona, ki se konča v letu, za katerega velja javni razpis.</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Pretekla tekmovalna sezona – tekmovalna sezona, ki se konča v letu pred letom, za katerega velja javni razpis.</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 – definicija športnika je opredeljena v 32. členu Zakona o športu (</w:t>
      </w:r>
      <w:proofErr w:type="spellStart"/>
      <w:r w:rsidRPr="002E36E7">
        <w:rPr>
          <w:rFonts w:ascii="Tahoma" w:eastAsiaTheme="minorHAnsi" w:hAnsi="Tahoma" w:cs="Tahoma"/>
          <w:sz w:val="20"/>
          <w:szCs w:val="20"/>
          <w:lang w:eastAsia="en-US"/>
        </w:rPr>
        <w:t>ZŠpo</w:t>
      </w:r>
      <w:proofErr w:type="spellEnd"/>
      <w:r w:rsidRPr="002E36E7">
        <w:rPr>
          <w:rFonts w:ascii="Tahoma" w:eastAsiaTheme="minorHAnsi" w:hAnsi="Tahoma" w:cs="Tahoma"/>
          <w:sz w:val="20"/>
          <w:szCs w:val="20"/>
          <w:lang w:eastAsia="en-US"/>
        </w:rPr>
        <w:t>-1).</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Aktivni športnik – športnik, ki v tekoči tekmovalni sezoni nastopa v uradnih tekmovalnih sistemih nacionalne panožne športne zveze in ima za tekočo tekmovalno sezono potrjeno tekmovalno licenco.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Priznani športnik – športnik, ki izpolnjuje pogoje za uvrstitev v programe tekmovalnega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Faktor polnosti tekmovalne skupine – razmerje med številom priznanih športnikov v posamezni stopnji tekmovalnega športa (starostni kategoriji) in številom športnikov iz Tabele 3.</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Korekcijski faktor uspešnosti – izračuna se ga iz uvrstitev v pretekli tekmovalni sezoni, z njim pa se množi vrednost programov tekmovalnega športa.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Celoletni športni programi – športni programi, ki se v obsegu najmanj 60 ur (najmanj 30 vadbenih tednov po 2 uri tedensko) izvajajo skozi vse leto.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Vadbena sezona – enoletno obdobje, v katerem poteka vadba v celoletnih </w:t>
      </w:r>
      <w:proofErr w:type="spellStart"/>
      <w:r w:rsidRPr="002E36E7">
        <w:rPr>
          <w:rFonts w:ascii="Tahoma" w:eastAsiaTheme="minorHAnsi" w:hAnsi="Tahoma" w:cs="Tahoma"/>
          <w:sz w:val="20"/>
          <w:szCs w:val="20"/>
          <w:lang w:eastAsia="en-US"/>
        </w:rPr>
        <w:t>netekmovalnih</w:t>
      </w:r>
      <w:proofErr w:type="spellEnd"/>
      <w:r w:rsidRPr="002E36E7">
        <w:rPr>
          <w:rFonts w:ascii="Tahoma" w:eastAsiaTheme="minorHAnsi" w:hAnsi="Tahoma" w:cs="Tahoma"/>
          <w:sz w:val="20"/>
          <w:szCs w:val="20"/>
          <w:lang w:eastAsia="en-US"/>
        </w:rPr>
        <w:t xml:space="preserve"> športnih programih.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Tekoča vadbena sezona – vadbena sezona, ki se konča v letu, za katerega se objavi javni razpis.</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Ura vadbe – pomeni 60 minut vadbe.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(elementi vrednotenja športnih programov)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Elementi vrednotenja športnih programov se nanašajo pretežno na kvantitativne vidike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velikost vadbene skupine,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vrednost ure dela strokovnega kadra,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vrednost ure najema športnega objekta oziroma površine za šport,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materialne stroške za izpeljavo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stroške priprav na tekmovanja in stroške udeležbe na tekmovanjih,</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število športnikov v vadbeni skupini,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kakovost športnih dosežkov (dosežene rezultate na tekmovanjih),</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druge elemente v skladu z usmeritvami nacionalnega programa, LPŠ in tega odloka.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Obseg programa in velikost vadbene skupine se določita na osnovi normativov iz tega odloka ter podatkov in dokazil iz prijave na javni razpis.</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(vrednotenje strokovnega kadra)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Športne programe lahko samostojno vodi le ustrezno strokovno izobražen kader ali strokovno usposobljen kader v skladu z določbami zakona o športu.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Vrednost ure sofinanciranja strokovnega kadra, v točkah, ki pripada posamezni vadbeni skupini določenega športnega programa je navedena v Tabeli 1:</w:t>
      </w:r>
    </w:p>
    <w:tbl>
      <w:tblPr>
        <w:tblW w:w="830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68"/>
        <w:gridCol w:w="2016"/>
        <w:gridCol w:w="2017"/>
      </w:tblGrid>
      <w:tr w:rsidR="002E36E7" w:rsidRPr="002E36E7" w:rsidTr="002E36E7">
        <w:trPr>
          <w:trHeight w:val="283"/>
          <w:jc w:val="center"/>
        </w:trPr>
        <w:tc>
          <w:tcPr>
            <w:tcW w:w="4268"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ŠPORTNI PROGRAM</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Strokovno usposobljen delavec v športu</w:t>
            </w:r>
          </w:p>
        </w:tc>
        <w:tc>
          <w:tcPr>
            <w:tcW w:w="2017" w:type="dxa"/>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Strokovno izobražen delavec v športu</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Prostočasna športna vzgoja otrok in mladine</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Športna vzgoja otrok in mladine s posebnimi potrebami</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 xml:space="preserve">Celoletni </w:t>
            </w:r>
            <w:proofErr w:type="spellStart"/>
            <w:r w:rsidRPr="002E36E7">
              <w:rPr>
                <w:rFonts w:ascii="Tahoma" w:hAnsi="Tahoma" w:cs="Tahoma"/>
                <w:sz w:val="16"/>
                <w:szCs w:val="16"/>
              </w:rPr>
              <w:t>obštudijski</w:t>
            </w:r>
            <w:proofErr w:type="spellEnd"/>
            <w:r w:rsidRPr="002E36E7">
              <w:rPr>
                <w:rFonts w:ascii="Tahoma" w:hAnsi="Tahoma" w:cs="Tahoma"/>
                <w:sz w:val="16"/>
                <w:szCs w:val="16"/>
              </w:rPr>
              <w:t xml:space="preserve"> športni programi</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Programi tekmovalnega športa otrok in mladine</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Pripravljalni športni programi</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Kakovostni šport</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 invalidov</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Športna rekreacija</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1,3</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1,43</w:t>
            </w:r>
          </w:p>
        </w:tc>
      </w:tr>
      <w:tr w:rsidR="002E36E7" w:rsidRPr="002E36E7" w:rsidTr="002E36E7">
        <w:trPr>
          <w:jc w:val="center"/>
        </w:trPr>
        <w:tc>
          <w:tcPr>
            <w:tcW w:w="4268"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Šport starejših</w:t>
            </w:r>
          </w:p>
        </w:tc>
        <w:tc>
          <w:tcPr>
            <w:tcW w:w="2016"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w:t>
            </w:r>
          </w:p>
        </w:tc>
        <w:tc>
          <w:tcPr>
            <w:tcW w:w="2017" w:type="dxa"/>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1,65</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Vrednotenje strokovnega kadra, iz prejšnjega odstavka tega člena se uporablja za vse športne programe, ki so predmet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(vrednotenje športnih objektov)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Uporaba športnega objekta se vrednoti v primeru, ko se izbrani športni program izvaja v/na športnem objektu na območju občine, za uporabo katerega izvajalec plačuje ekonomsko ceno najema.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 primeru brezplačne uporabe javnega športnega objekta se njegova uporaba ne vrednoti, se pa določi obseg ur, ki pripada posameznemu izvajalcu. Prav tako se ne vrednoti njegova uporaba v primeru, ko izvajalec upravlja z javnim športnim objektom in za njegovo tekoče obratovanje in vzdrževanje prejema sredstva iz občinskega proračuna.</w:t>
      </w:r>
    </w:p>
    <w:p w:rsidR="002E36E7" w:rsidRPr="002E36E7" w:rsidRDefault="002E36E7" w:rsidP="002E36E7">
      <w:pPr>
        <w:spacing w:line="276" w:lineRule="auto"/>
        <w:jc w:val="both"/>
        <w:rPr>
          <w:rFonts w:ascii="Tahoma" w:eastAsiaTheme="minorHAnsi" w:hAnsi="Tahoma" w:cs="Tahoma"/>
          <w:sz w:val="20"/>
          <w:szCs w:val="22"/>
          <w:lang w:eastAsia="en-US"/>
        </w:rPr>
      </w:pPr>
      <w:r w:rsidRPr="002E36E7">
        <w:rPr>
          <w:rFonts w:ascii="Tahoma" w:eastAsiaTheme="minorHAnsi" w:hAnsi="Tahoma" w:cs="Tahoma"/>
          <w:sz w:val="20"/>
          <w:szCs w:val="22"/>
          <w:lang w:eastAsia="en-US"/>
        </w:rPr>
        <w:t>(3) V primeru, da izvajalec del svojega program izvaja na objektu, ki ni na območju občine, je odločitev za sofinanciranje uporabe takega objekta izključno v pristojnosti občine.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Vrednost ure najema športnega objekta in površin za šport, v točkah, za posamezno vadbeno skupino je navedena v Tabeli 2:</w:t>
      </w:r>
    </w:p>
    <w:tbl>
      <w:tblPr>
        <w:tblW w:w="5940" w:type="dxa"/>
        <w:jc w:val="center"/>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280"/>
        <w:gridCol w:w="1660"/>
      </w:tblGrid>
      <w:tr w:rsidR="002E36E7" w:rsidRPr="002E36E7" w:rsidTr="002E36E7">
        <w:trPr>
          <w:cantSplit/>
          <w:trHeight w:hRule="exact" w:val="436"/>
          <w:jc w:val="center"/>
        </w:trPr>
        <w:tc>
          <w:tcPr>
            <w:tcW w:w="4280" w:type="dxa"/>
            <w:shd w:val="clear" w:color="auto" w:fill="auto"/>
            <w:noWrap/>
            <w:vAlign w:val="center"/>
          </w:tcPr>
          <w:p w:rsidR="002E36E7" w:rsidRPr="002E36E7" w:rsidRDefault="002E36E7" w:rsidP="002E36E7">
            <w:pPr>
              <w:spacing w:line="276" w:lineRule="auto"/>
              <w:jc w:val="center"/>
              <w:rPr>
                <w:rFonts w:ascii="Tahoma" w:eastAsiaTheme="minorHAnsi" w:hAnsi="Tahoma" w:cs="Tahoma"/>
                <w:b/>
                <w:bCs/>
                <w:sz w:val="16"/>
                <w:szCs w:val="16"/>
                <w:lang w:eastAsia="en-US"/>
              </w:rPr>
            </w:pPr>
            <w:r w:rsidRPr="002E36E7">
              <w:rPr>
                <w:rFonts w:ascii="Tahoma" w:eastAsiaTheme="minorHAnsi" w:hAnsi="Tahoma" w:cs="Tahoma"/>
                <w:b/>
                <w:bCs/>
                <w:sz w:val="16"/>
                <w:szCs w:val="16"/>
                <w:lang w:eastAsia="en-US"/>
              </w:rPr>
              <w:t>Športni objekt</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b/>
                <w:bCs/>
                <w:sz w:val="16"/>
                <w:szCs w:val="16"/>
                <w:lang w:eastAsia="en-US"/>
              </w:rPr>
            </w:pPr>
            <w:r w:rsidRPr="002E36E7">
              <w:rPr>
                <w:rFonts w:ascii="Tahoma" w:eastAsiaTheme="minorHAnsi" w:hAnsi="Tahoma" w:cs="Tahoma"/>
                <w:b/>
                <w:bCs/>
                <w:sz w:val="16"/>
                <w:szCs w:val="16"/>
                <w:lang w:eastAsia="en-US"/>
              </w:rPr>
              <w:t>število točk / ura</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Telovadnica</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Dvorana 2/2</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7,2</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Skakalnica – doma</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Skakalnica - zunaj</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7,2</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Vadišče za gorsko kolesarstvo</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1,1</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Asfaltne površine za športne igre</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0,5</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lastRenderedPageBreak/>
              <w:t>Pokrito teniško igrišče</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3,0</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Teniško igrišče na prostem</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Fitnes</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2,0</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Plezalna stena v dvorani</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3,6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Plezalna stena na prostem</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1,6</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Plesno vadišče</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2,0</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Odbojka na mivki</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1,1</w:t>
            </w:r>
          </w:p>
        </w:tc>
      </w:tr>
      <w:tr w:rsidR="002E36E7" w:rsidRPr="002E36E7" w:rsidTr="002E36E7">
        <w:trPr>
          <w:cantSplit/>
          <w:trHeight w:hRule="exact" w:val="284"/>
          <w:jc w:val="center"/>
        </w:trPr>
        <w:tc>
          <w:tcPr>
            <w:tcW w:w="4280" w:type="dxa"/>
            <w:shd w:val="clear" w:color="auto" w:fill="auto"/>
            <w:noWrap/>
            <w:vAlign w:val="center"/>
          </w:tcPr>
          <w:p w:rsidR="002E36E7" w:rsidRPr="002E36E7" w:rsidRDefault="002E36E7" w:rsidP="002E36E7">
            <w:pPr>
              <w:spacing w:line="276" w:lineRule="auto"/>
              <w:rPr>
                <w:rFonts w:ascii="Tahoma" w:eastAsiaTheme="minorHAnsi" w:hAnsi="Tahoma" w:cs="Tahoma"/>
                <w:sz w:val="16"/>
                <w:szCs w:val="16"/>
                <w:lang w:eastAsia="en-US"/>
              </w:rPr>
            </w:pPr>
            <w:r w:rsidRPr="002E36E7">
              <w:rPr>
                <w:rFonts w:ascii="Tahoma" w:eastAsiaTheme="minorHAnsi" w:hAnsi="Tahoma" w:cs="Tahoma"/>
                <w:sz w:val="16"/>
                <w:szCs w:val="16"/>
                <w:lang w:eastAsia="en-US"/>
              </w:rPr>
              <w:t>Travnato nogometno igrišče za mali nogomet</w:t>
            </w:r>
          </w:p>
        </w:tc>
        <w:tc>
          <w:tcPr>
            <w:tcW w:w="1660" w:type="dxa"/>
            <w:shd w:val="clear" w:color="auto" w:fill="auto"/>
            <w:noWrap/>
            <w:vAlign w:val="center"/>
          </w:tcPr>
          <w:p w:rsidR="002E36E7" w:rsidRPr="002E36E7" w:rsidRDefault="002E36E7" w:rsidP="002E36E7">
            <w:pPr>
              <w:spacing w:line="276" w:lineRule="auto"/>
              <w:jc w:val="center"/>
              <w:rPr>
                <w:rFonts w:ascii="Tahoma" w:eastAsiaTheme="minorHAnsi" w:hAnsi="Tahoma" w:cs="Tahoma"/>
                <w:sz w:val="16"/>
                <w:szCs w:val="16"/>
                <w:lang w:eastAsia="en-US"/>
              </w:rPr>
            </w:pPr>
            <w:r w:rsidRPr="002E36E7">
              <w:rPr>
                <w:rFonts w:ascii="Tahoma" w:eastAsiaTheme="minorHAnsi" w:hAnsi="Tahoma" w:cs="Tahoma"/>
                <w:sz w:val="16"/>
                <w:szCs w:val="16"/>
                <w:lang w:eastAsia="en-US"/>
              </w:rPr>
              <w:t>1,1</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Vrednotenje uporabe športnih objektov in površin za šport iz prejšnjega odstavka tega člena se uporablja za vse športne programe, ki so predmet LPŠ.</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2. Prostočasna športna vzgoja otrok in mladine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2.1. Obšolski športni programi in športni programi otrok in mladine, ki niso del tekmovalnih sistemov panožnih športnih zvez</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(predmet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obšolski športni programi namenjeni vsem otrokom in mladini, ter športni programi otrok in mladine, ki niso del tekmovalnih sistemov panožnih športnih zvez in jih ponujajo športna društva in drugi izvajalci. Zaradi zapletenosti dela z mladimi in varnosti, lahko te programe vodijo le izobraženi športni strokovnjaki in bolj kompetentni kadri z višjo ravnijo usposobljenosti za opravljanje vzgojno-izobraževalnega dela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10 do 15 udeležencev starih do 19 let,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se izvaja izven vzgojno-izobraževalnega sistema.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Prostočasni športni programi predšolskih otrok (do 6 let) se sofinancirajo v obsegu največ 60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(2) Število udeležencev programa iz prvega odstavka tega člena je najmanj 10. V primeru, da je število udeležencev programa manjše od 10, vendar ne manj kot 5, se vrednost sofinanciranja programa sorazmerno zniža glede na dejansko število udeležencev.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Prostočasni športni programi šoloobveznih otrok (od 6 do 15 let) se sofinancirajo v obsegu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Število udeležencev programa iz tretjega odstavka tega člena je najmanj 13. V primeru, da je število udeležencev programa manjše od 13, vendar ne manjše kot 7,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Prostočasni športni programi mladine (od 15 do 20 let) se sofinancirajo v obsegu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(6) Število udeležencev programa iz petega odstavka tega člena je najmanj 15. V primeru, da je število udeležencev programa manjše od 15, vendar ne manjše od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2.2. Nacionalni prostočasni športni programi za otroke in mladino (Mali sonček, Zlati sonček, Krpan, Hura prosti čas, Ciciban planinec, Mladi planinec,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Nacionalni prostočasni športni programi za otroke in mladino se pretežno izvajajo v vzgojno-izobraževalnih zavodih. Njihov cilj je povečanje gibalnih sposobnosti otrok in mladostnikov.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19.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višini ocenjenih stroškov):</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organizacija programa,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propagandno gradivo,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priznanja.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primeru, da se programi izvajajo v okviru obveznega učnega procesa ali so financirani s strani pristojnega ministrstva za šport, se v okviru LPŠ ne sofinancirajo.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3. Športna vzgoja otrok in mladine s posebnimi potrebami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Sofinancirajo se celoletni športni programi otrok in mladine s prirojenimi ali pridobljenimi okvarami in </w:t>
      </w:r>
      <w:proofErr w:type="spellStart"/>
      <w:r w:rsidRPr="002E36E7">
        <w:rPr>
          <w:rFonts w:ascii="Tahoma" w:eastAsiaTheme="minorHAnsi" w:hAnsi="Tahoma" w:cs="Tahoma"/>
          <w:sz w:val="20"/>
          <w:szCs w:val="20"/>
          <w:lang w:eastAsia="en-US"/>
        </w:rPr>
        <w:t>oviranostmi</w:t>
      </w:r>
      <w:proofErr w:type="spellEnd"/>
      <w:r w:rsidRPr="002E36E7">
        <w:rPr>
          <w:rFonts w:ascii="Tahoma" w:eastAsiaTheme="minorHAnsi" w:hAnsi="Tahoma" w:cs="Tahoma"/>
          <w:sz w:val="20"/>
          <w:szCs w:val="20"/>
          <w:lang w:eastAsia="en-US"/>
        </w:rPr>
        <w:t xml:space="preserve"> in zato potrebujejo prilagojeno izvajanje gibalnih programov z dodatno strokovno pomočjo. To vpliva na njihovo uspešno socialno vključevanje ter polno in bogatejše življenje.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5 do 8 udeležencev starih do 19 let,</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 za izvajanje posebnih gibalnih programov za otroke in mladino s posebnimi potrebami,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se izvaja izven vzgojno-izobraževalnega sistema.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(2) Število udeležencev programa je najmanj 8. V primeru, da je število udeležencev programa manjše od 8, vendar ne manjše od 5,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 xml:space="preserve">4. </w:t>
      </w:r>
      <w:proofErr w:type="spellStart"/>
      <w:r w:rsidRPr="002E36E7">
        <w:rPr>
          <w:rFonts w:ascii="Tahoma" w:eastAsiaTheme="minorHAnsi" w:hAnsi="Tahoma" w:cs="Tahoma"/>
          <w:b/>
          <w:sz w:val="20"/>
          <w:szCs w:val="20"/>
          <w:lang w:eastAsia="en-US"/>
        </w:rPr>
        <w:t>Obštudijske</w:t>
      </w:r>
      <w:proofErr w:type="spellEnd"/>
      <w:r w:rsidRPr="002E36E7">
        <w:rPr>
          <w:rFonts w:ascii="Tahoma" w:eastAsiaTheme="minorHAnsi" w:hAnsi="Tahoma" w:cs="Tahoma"/>
          <w:b/>
          <w:sz w:val="20"/>
          <w:szCs w:val="20"/>
          <w:lang w:eastAsia="en-US"/>
        </w:rPr>
        <w:t xml:space="preserve"> športne dejavnosti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celoletni športni programi za študente v domačem kraju bivanja, ki imajo zanje pomemben zdravstveni učinek in pripomorejo k nevtralizaciji negativnih učinkov sedečega načina življenja (splošna gibalna vadba, korekcija telesne drže, aerobne vsebine ipd.).</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8 do 15 udeležencev z veljavnim statusom študenta,</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se izvaja izven vzgojno-izobraževalnega sistema.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15. V primeru, da je število udeležencev programa manjše od 15, vendar ne manjše od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5. Športna vzgoja otrok in mladine, usmerjenih v kakovostni in vrhunski šport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 xml:space="preserve">5.1. Programi tekmovalnega športa otrok in mladine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celoletni športni programi športnikov do starostne kategorije mladincev, ki so vključeni v tekmovalne sisteme nacionalnih panožnih športnih zvez.</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Izvajalci športnih programov se ukvarjajo s športnimi panogami in z disciplinami, ki so v rednem programu letnih ali zimskih Olimpijskih iger.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uradnem tekmovalnem sistemu ima izvajalec LPŠ vsaj 2 kategoriji od II. do V. stopnje športnih šol.</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občini so dane možnosti za uspešno delovanje in razvoj športne panoge (ustrezna infrastruktura, kadrovska zasedba, materialne možnosti in organizacija).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v individualnih športnih panogah oziroma ekipe v kolektivnih športnih panogah nastopajo v uradnih tekmovalnih sistemih nacionalnih panožnih športnih zvez.</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Športniki v programih II. in III. stopnje trenirajo vsaj 40 tednov v letu, v obsegu vsaj 4,5 ure na teden. Športniki v programih IV. in V. stopnje trenirajo vsaj 40 tednov v letu, v obsegu vsaj 6 ur na teden.</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in športnice morajo biti registrirani pri panožni športni zvezi, z izjemo športnih programov I. stopnje.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Starost športnikov in športnic vključenih v programe tekmovalnega športa otrok in mladine ne sme presegati 20 let.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29.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(normativi za vrednotenje)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Programi tekmovalnega športa otrok in mladine so razdeljeni na 5 stopenj: </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I. stopnja – cicibani in </w:t>
      </w:r>
      <w:proofErr w:type="spellStart"/>
      <w:r w:rsidRPr="002E36E7">
        <w:rPr>
          <w:rFonts w:ascii="Tahoma" w:eastAsiaTheme="minorHAnsi" w:hAnsi="Tahoma" w:cs="Tahoma"/>
          <w:sz w:val="20"/>
          <w:szCs w:val="20"/>
          <w:lang w:eastAsia="en-US"/>
        </w:rPr>
        <w:t>cicibanke</w:t>
      </w:r>
      <w:proofErr w:type="spellEnd"/>
      <w:r w:rsidRPr="002E36E7">
        <w:rPr>
          <w:rFonts w:ascii="Tahoma" w:eastAsiaTheme="minorHAnsi" w:hAnsi="Tahoma" w:cs="Tahoma"/>
          <w:sz w:val="20"/>
          <w:szCs w:val="20"/>
          <w:lang w:eastAsia="en-US"/>
        </w:rPr>
        <w:t>,</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II. stopnja – mlajši dečki in deklice,</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III. stopnja – starejši dečki in deklice, </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IV. stopnja – kadeti in kadetinje, </w:t>
      </w:r>
    </w:p>
    <w:p w:rsidR="002E36E7" w:rsidRPr="002E36E7" w:rsidRDefault="002E36E7" w:rsidP="002E36E7">
      <w:pPr>
        <w:numPr>
          <w:ilvl w:val="0"/>
          <w:numId w:val="27"/>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 stopnja – mladinci in mladinke.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 skladu z mnenjem stroke je pretirana tekmovalnost v najnižjih starostnih kategorijah nezaželena, zato se vadbene skupine I. stopnje (tekmovalci mlajši od 12 let) uvrstijo v pripravljalne športne programe.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(3) V spodnji tabeli so navedeni normativi vrednotenja posameznih elementov vrednotenja za programe tekmovalnega športa in pripravljalne športne programe, pri čemer starost predstavlja starost športnikov v vadbeni skupini, skupina velikost vadbene skupine, obseg največje število ur vadbe na leto, vključno z udeležbo na tekmovanjih, ki je predmet sofinanciranja, stroški pa materialne stroške vadbe in udeležbe na tekmovanjih. </w:t>
      </w:r>
    </w:p>
    <w:p w:rsidR="002E36E7" w:rsidRPr="002E36E7" w:rsidRDefault="002E36E7" w:rsidP="002E36E7">
      <w:pPr>
        <w:spacing w:line="276" w:lineRule="auto"/>
        <w:jc w:val="both"/>
        <w:rPr>
          <w:rFonts w:ascii="Tahoma" w:eastAsiaTheme="minorHAnsi" w:hAnsi="Tahoma" w:cs="Tahoma"/>
          <w:b/>
          <w:sz w:val="20"/>
          <w:szCs w:val="20"/>
          <w:lang w:eastAsia="en-US"/>
        </w:rPr>
      </w:pPr>
      <w:r w:rsidRPr="002E36E7">
        <w:rPr>
          <w:rFonts w:ascii="Tahoma" w:eastAsiaTheme="minorHAnsi" w:hAnsi="Tahoma" w:cs="Tahoma"/>
          <w:sz w:val="20"/>
          <w:szCs w:val="20"/>
          <w:lang w:eastAsia="en-US"/>
        </w:rPr>
        <w:t>(4) Normativi za vrednotenje vadbenih skupin v tekmovalnem športu oziroma v pripravljalnih športnih programih so navedeni v Tabeli 3:</w:t>
      </w:r>
    </w:p>
    <w:tbl>
      <w:tblPr>
        <w:tblW w:w="7662" w:type="dxa"/>
        <w:jc w:val="center"/>
        <w:tblInd w:w="23" w:type="dxa"/>
        <w:tblCellMar>
          <w:top w:w="15" w:type="dxa"/>
          <w:left w:w="15" w:type="dxa"/>
          <w:bottom w:w="15" w:type="dxa"/>
          <w:right w:w="15" w:type="dxa"/>
        </w:tblCellMar>
        <w:tblLook w:val="04A0" w:firstRow="1" w:lastRow="0" w:firstColumn="1" w:lastColumn="0" w:noHBand="0" w:noVBand="1"/>
      </w:tblPr>
      <w:tblGrid>
        <w:gridCol w:w="1113"/>
        <w:gridCol w:w="1037"/>
        <w:gridCol w:w="919"/>
        <w:gridCol w:w="922"/>
        <w:gridCol w:w="916"/>
        <w:gridCol w:w="922"/>
        <w:gridCol w:w="922"/>
        <w:gridCol w:w="911"/>
      </w:tblGrid>
      <w:tr w:rsidR="002E36E7" w:rsidRPr="002E36E7" w:rsidTr="002E36E7">
        <w:trPr>
          <w:trHeight w:val="283"/>
          <w:jc w:val="center"/>
        </w:trPr>
        <w:tc>
          <w:tcPr>
            <w:tcW w:w="1113"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Panoga</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Element vrednotenja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 stopnja</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II. stopnja</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III. stopna</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IV. stopnja</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V. stopnja</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ČLANI</w:t>
            </w: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SMUČARSKI SKOKI</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85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105</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164</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highlight w:val="yellow"/>
              </w:rPr>
            </w:pP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GORSKO KOLESARSTVO</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ŠPORTNO PLEZANJE</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56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78</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p>
        </w:tc>
      </w:tr>
      <w:tr w:rsidR="002E36E7" w:rsidRPr="002E36E7" w:rsidTr="002E36E7">
        <w:trPr>
          <w:jc w:val="center"/>
        </w:trPr>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ODBOJKA</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starost</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10–11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12–13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14–15</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16–17</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18–20</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nad 20</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skupina</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12</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obseg</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140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210 ur</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320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360 ur</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400 ur</w:t>
            </w:r>
          </w:p>
        </w:tc>
      </w:tr>
      <w:tr w:rsidR="002E36E7" w:rsidRPr="002E36E7" w:rsidTr="002E36E7">
        <w:trPr>
          <w:jc w:val="center"/>
        </w:trPr>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6E7" w:rsidRPr="002E36E7" w:rsidRDefault="002E36E7" w:rsidP="002E36E7">
            <w:pPr>
              <w:jc w:val="both"/>
              <w:rPr>
                <w:rFonts w:ascii="Tahoma" w:hAnsi="Tahoma" w:cs="Tahoma"/>
                <w:sz w:val="16"/>
                <w:szCs w:val="16"/>
                <w:highlight w:val="yellow"/>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stroški</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49</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56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64</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78</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2E36E7" w:rsidRPr="002E36E7" w:rsidRDefault="002E36E7" w:rsidP="002E36E7">
            <w:pPr>
              <w:jc w:val="center"/>
              <w:rPr>
                <w:rFonts w:ascii="Tahoma" w:hAnsi="Tahoma" w:cs="Tahoma"/>
                <w:sz w:val="16"/>
                <w:szCs w:val="16"/>
              </w:rPr>
            </w:pP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(5) Za športne panoge, ki niso navedene v tabeli, normative določi komisija na osnovi podatkov, ki jih je od nacionalnih panožnih športnih zvez pridobil Olimpijski komite Slovenije – združenje športnih zvez. Stroške vadbe in tekmovanj (materialni stroški) se določi na osnovi podatkov sorodnih in primerljivih športnih panog, pri čemer se upošteva tudi vsebina in specifika športne panoge.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(6) Materialne stroške vadbe in udeležbe na tekmovanjih so podani na posameznega športnika.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(7) V primeru, da pride v posamezni športni panogi do spremembe tekmovalnih pravil, ki vplivajo na normative iz tabele, se ti prilagodijo spremenjenim pravilom.</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(8) Izvajalcu se posamezna stopnja programov tekmovalnega športa ne prizna, če ima v starostni kategoriji manj kot polovico športnikov glede na število športnikov v skupini iz Tabele 3. Če ima takih kategorij več, se lahko posamezne kategorije za izpolnitev zahteve združijo, glede na to kako posamezne vadbene skupine tudi dejansko trenirajo.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(9) Izvajalec programov tekmovalnega športa otrok in mladine se lahko v LPŠ na vsaki stopnji uvrsti le z enim programom. Pri tem se na vsaki stopnji prizna največ toliko športnikov v vadbeni skupini, kot je določeno v Tabeli 3. Izjema so izvajalci kolektivnih športnih panog, ki izvajajo programe ločeno za moške in ženske. Ti se lahko v LPŠ na vsaki stopnji uvrstijo s po enim programom za moške in enim za ženske. Izvajalec mora v tem primeru pogoje za uvrstitev programov v LPŠ izpolnjevati ločeno za moške in ženske.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(10) Če izvajalec na posamezni stopnji izvaja več programov, se preostali programi, če izpolnjujejo zahtevane pogoje, uvrstijo v prostočasno športno vzgojo otrok in mladine – Obšolski športni programi za otroke in mladino.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(11) Posameznega tekmovalca se uvrsti v program tiste stopnje, ki odgovarja njegovi starosti v tekoči tekmovalni sezoni, ne glede na to, v katerih starostnih kategorijah nastopa na tekmovanjih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(12) V primeru, da izvajalec združuje vadbo dveh stopenj, se celoten obseg vadbe upošteva glede na to, katerih športnikov (posamezne stopnje) je več v vadbeni skupini, na enak način se upošteva tudi število priznanih športnikov, materialni stroški in obseg programov iz Tabele 3. Izjema je združevanje s člansko kategorijo. V tem primeru se celoten obseg vadbe upošteva pri nižji stopnji (mladinci, mladinke), stroški strokovnega kadra in materialni stroški članom ne pripadajo.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 (v obsegu programa, vendar največ do števila ur iz Tabele 3),</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 (v obsegu programa, vendar največ do števila ur iz Tabele 3),</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priprava na tekmovanja in udeležba na tekmovanjih (materialni stroški za izpeljavo programa).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(2) Pri obsegu programa (število ur) se poleg ur trenažnega procesa upošteva tudi čas igranja tekem v uradnem tekmovalnem sistemu (kolektivni športi), oziroma sodelovanja na tekmovanjih (individualni športi).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Med stroške priprav na tekmovanja in udeležbe na tekmovanjih se med drugim štejejo tudi stroški športnih rekvizitov, ki so potrebni v procesu treninga, oprema tekmovalcev, stroški prevozov na tekme in treninge, stroški domačih tekem in tekmovanj, prijavnine za tekmovanja, registracije in licence tekmovalcev ter zavarovanja tekmovalcev.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(korekcijski faktor uspešnosti)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Korekcijski faktor uspešnosti se izračuna na podlagi uvrstitev v uradnih tekmovalnih sistemih nacionalnih panožnih športnih zvez v pretekli tekmovalni sezoni – za individualne športne panoge na podlagi uvrstitev na državnem prvenstvu posameznikov, za kolektivne športne panoge na podlagi uvrstitev v ligaškem ali podobnem tekmovalnem sistemu.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 xml:space="preserve">(2) Individualne športne panoge: za posamezno stopnjo športnih šol (starostno kategorijo) se korekcijski faktor uspešnosti izračuna na podlagi uvrstitve tekmovalcev v posamezni kategoriji na državnem prvenstvu v pretekli sezoni. Upošteva se samo tekmovalce, ki so nastopili vsaj na 50% uradnih tekmovanj nacionalne panožne športne zveze. V primeru, da se je potrebno na državno prvenstvo uvrstiti preko kvalifikacij, se pri uvrstitvi upoštevajo tudi tekmovalci, ki so nastopili v kvalifikacijah.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Uvrstitev tekmovalcev posamezne kategorije (individualne športne panoge):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povprečna uvrstitev tekmovalcev kategorije v 1. petino ne pomeni odbitka pri korekcijskem faktorju (faktor: 1),</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za vsako naslednjo petino se korekcijski faktor uspešnosti kategorije zmanjša za 5%,</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če državno prvenstvo ni izpeljano, se korekcijski faktor uspešnosti zmanjša za 25%.</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Kolektivne športne panoge: za posamezno stopnjo športnih šol (starostno kategorijo) se korekcijski faktor uspešnosti izračuna na podlagi uvrstitve ekipe posamezne kategorije v pretekli sezoni.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(5) Uvrstitev ekipe posamezne kategorije (kolektivne športne panoge):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uvrstitev v 1. petino sodelujočih ekip ne pomeni odbitka pri korekcijskem faktorju kategorije (faktor: 1),</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za vsako naslednjo petino se korekcijski faktor uspešnosti kategorije zmanjša za 5%,</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če tekmovalni sistem ne omogoča osvojitve naslova državnega prvaka, se korekcijski faktor uspešnosti zmanjša za 25%.</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(končne vrednosti programov)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Točkovno vrednosti programa izvajalca športnih programov na posamezni stopnji dobimo tako, da seštejemo vrednosti posameznih elementov vrednotenja. Če ima izvajalec ob tem v programu te stopnje manjše število priznanih športnikov od števila iz Tabele 3, se vrednost programa temu ustrezno sorazmerno zniža (množenje točkovne vrednosti s količnikom med številom priznanih športnikov in številom športnikov iz Tabele 3). To vrednost na koncu pomnožimo s korekcijskim faktorjem uspešnosti, kar nam da končno vrednost programa.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 xml:space="preserve">5.2. Pripravljalni športni programi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športni programi otrok, katerih starost ustreza programom I. stopnje iz Tabele 3, izvajajo pa jih izvajalci programov tekmovalnega športa.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poteka 40 tednov v letu, v obsegu vsaj 3 ure na teden,</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program izvaja izvajalec, ki izpolnjuje pogoje za sofinanciranje tekmovalnega športa otrok in mladine,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Posamezni izvajalec se lahko v pripravljalne športne programe uvrsti samo z enim programom, morebitni ostali programi, ki izpolnjujejo pogoje za uvrstitev v ta program, pa se uvrstijo v prostočasno športno vzgojo otrok in mladine – Obšolski športni programi za otroke in mladino.</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Izjema so izvajalci kolektivnih športnih panog, ki lahko izvajajo programe ločeno za cicibane in </w:t>
      </w:r>
      <w:proofErr w:type="spellStart"/>
      <w:r w:rsidRPr="002E36E7">
        <w:rPr>
          <w:rFonts w:ascii="Tahoma" w:eastAsiaTheme="minorHAnsi" w:hAnsi="Tahoma" w:cs="Tahoma"/>
          <w:sz w:val="20"/>
          <w:szCs w:val="20"/>
          <w:lang w:eastAsia="en-US"/>
        </w:rPr>
        <w:t>cicibanke</w:t>
      </w:r>
      <w:proofErr w:type="spellEnd"/>
      <w:r w:rsidRPr="002E36E7">
        <w:rPr>
          <w:rFonts w:ascii="Tahoma" w:eastAsiaTheme="minorHAnsi" w:hAnsi="Tahoma" w:cs="Tahoma"/>
          <w:sz w:val="20"/>
          <w:szCs w:val="20"/>
          <w:lang w:eastAsia="en-US"/>
        </w:rPr>
        <w: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Normativi za vrednotenje so podatki za I. stopnjo iz Tabele 3.</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Sofinancira se: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 (v obsegu programa, vendar največ do števila ur iz Tabele 3),</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 (v obsegu programa, vendar največ do števila ur iz Tabele 3),</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materialne stroške vadbe.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V primeru, da je število udeležencev programa manjše od števila iz Tabele 3, se vrednost programa temu ustrezno sorazmerno zniža. Končno vrednost programa dobimo tako, da točkovno vrednost programa, ki jo dobimo s seštevkom elementov vrednotenja, pomnožimo s korekcijskim faktorjem uspešnosti.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6. Kakovostni šport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6.1. Celoletni programi kakovostnega športa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programe kakovostnega športa se uvrstijo športniki in športne ekipe v članskih starostnih kategorijah, ki ne izpolnjujejo pogojev za pridobitev statusa vrhunskega športnika in tekmujejo v tekmovalnih sistemih nacionalnih panožnih športnih zvez do naslova državnega prvaka ter na mednarodnih tekmovanjih. Sofinancirajo se celoletni programi kakovostnega športa.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Izvajalci imajo v LPŠ uvrščene programe tekmovalnega športa otrok in mladine.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v individualnih športnih panogah oziroma ekipe v kolektivnih športnih panogah nastopajo v uradnih tekmovalnih sistemih nacionalnih panožnih športnih zvez.</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trenirajo vsaj 40 tednov v letu, vsaj trikrat tedensko, v obsegu vsaj 4,5 ure na teden.</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vadbenih skupinah individualnih športov je vsaj polovico športnikov glede na število iz Tabele 3. Upoštevajo se samo športniki, ki nastopijo vsaj na sedmih tekmovanjih iz koledarja nacionalne panožne športne zveze.</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 vadbenih skupinah kolektivnih športov je vsaj 80 % športnikov glede na število iz Tabele 3, ekipa pa nastopa v ligaškem tekmovanju z vsaj desetimi tekmami v tekmovalni sezoni.</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do števila ur iz Tabele 3):</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 primeru, da je število udeležencev programa manjše od števila iz Tabele 3, se vrednost programa temu ustrezno sorazmerno zniža. Končno vrednost programa dobimo tako, da točkovna vrednost programa, ki jo dobimo z vrednotenjem elementa vrednotenja pomnožimo s korekcijskim faktorjem uspešnosti.</w:t>
      </w:r>
    </w:p>
    <w:p w:rsidR="002E36E7" w:rsidRPr="002E36E7" w:rsidRDefault="002E36E7" w:rsidP="002E36E7">
      <w:pPr>
        <w:spacing w:line="276" w:lineRule="auto"/>
        <w:jc w:val="both"/>
        <w:rPr>
          <w:rFonts w:ascii="Tahoma" w:eastAsiaTheme="minorHAnsi" w:hAnsi="Tahoma" w:cs="Tahoma"/>
          <w:sz w:val="20"/>
          <w:szCs w:val="20"/>
          <w:lang w:eastAsia="en-US"/>
        </w:rPr>
      </w:pPr>
    </w:p>
    <w:p w:rsidR="00C5447A" w:rsidRDefault="00C5447A">
      <w:pPr>
        <w:rPr>
          <w:rFonts w:ascii="Tahoma" w:eastAsiaTheme="minorHAnsi" w:hAnsi="Tahoma" w:cs="Tahoma"/>
          <w:b/>
          <w:sz w:val="20"/>
          <w:szCs w:val="20"/>
          <w:lang w:eastAsia="en-US"/>
        </w:rPr>
      </w:pPr>
      <w:r>
        <w:rPr>
          <w:rFonts w:ascii="Tahoma" w:eastAsiaTheme="minorHAnsi" w:hAnsi="Tahoma" w:cs="Tahoma"/>
          <w:b/>
          <w:sz w:val="20"/>
          <w:szCs w:val="20"/>
          <w:lang w:eastAsia="en-US"/>
        </w:rPr>
        <w:br w:type="page"/>
      </w: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lastRenderedPageBreak/>
        <w:t xml:space="preserve">6.2. Športniki državnega razreda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39.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programe športnikov državnega razreda se uvrstijo športniki, ki so v skladu s Pogoji, pravili in kriteriji za registriranje in kategoriziranje športnikov v Republiki Sloveniji dosegli naziv športnika državnega razreda. Če so športniki kategorizacijo pridobili zaradi uspeha klubske ekipe v kolektivni športni panogi, se v ta program namesto športnikov uvrsti ekipa.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kategorizacija športnikov, je objavljena v zadnjem seznamu kategoriziranih športnikov Olimpijskega komiteja Slovenije – Združenja športnih zvez,</w:t>
      </w:r>
    </w:p>
    <w:p w:rsidR="002E36E7" w:rsidRPr="002E36E7" w:rsidRDefault="002E36E7" w:rsidP="002E36E7">
      <w:pPr>
        <w:numPr>
          <w:ilvl w:val="0"/>
          <w:numId w:val="2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športniki so kategorizacijo pridobili, kot člani izvajalca športnih programov s sedežem v občini.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Izvajalci športnih programov, katerih člani so pridobili kategorizacijo za dosežke v disciplinah, ki 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150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ekipa s športniki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1000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Izvajalci športnih programov, katerih člani so pridobili kategorizacijo za dosežke v disciplinah, ki niso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75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ekipa s športniki državnega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500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7. Vrhunski šport</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V programe vrhunskega športa se uvrstijo športniki, ki so v skladu s Pogoji, pravili in kriteriji za registriranje in kategoriziranje športnikov v Republiki Sloveniji dosegli naziv športnika olimpijskega, svetovnega, mednarodnega ali perspektivnega razreda.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29"/>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kategorizacija športnika je objavljena v zadnjem oktobrskem seznamu kategoriziranih športnikov Olimpijskega komiteja Slovenije – Združenja športnih zvez,</w:t>
      </w:r>
    </w:p>
    <w:p w:rsidR="002E36E7" w:rsidRPr="002E36E7" w:rsidRDefault="002E36E7" w:rsidP="002E36E7">
      <w:pPr>
        <w:numPr>
          <w:ilvl w:val="0"/>
          <w:numId w:val="29"/>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športnik je kategorizacijo pridobil kot član izvajalca športnih programov s sedežem v občini.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Izvajalci športnih programov, katerih člani so pridobili kategorizacijo za dosežke v disciplinah, ki 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olimpijskega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900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svetovnega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500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mednarodnega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300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perspektivnega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200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(2) Izvajalci športnih programov, katerih člani so pridobili kategorizacijo za dosežke v disciplinah, ki niso v rednem sporedu Olimpijskih iger:</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svetovnega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250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mednarodnega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150 točk</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športnik perspektivnega razreda</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8. Šport invalidov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celoletni športni programi za invalide, ki so nastali s povezovanjem športnih in invalidskih ter dobrodelnih društev na lokalni ravni.</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6 do 10 udeležencev s statusom invalida,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 za izpeljavo športnih programov za invalide.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10. V primeru, da je število udeležencev programa manjše od 10, vendar ne manjše od 6,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9. Športna rekreacija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Športna rekreacija je smiselno nadaljevanje obvezne in prostočasne športne vzgoje, športne vzgoje otrok in mladine s posebnimi potrebami, </w:t>
      </w:r>
      <w:proofErr w:type="spellStart"/>
      <w:r w:rsidRPr="002E36E7">
        <w:rPr>
          <w:rFonts w:ascii="Tahoma" w:eastAsiaTheme="minorHAnsi" w:hAnsi="Tahoma" w:cs="Tahoma"/>
          <w:sz w:val="20"/>
          <w:szCs w:val="20"/>
          <w:lang w:eastAsia="en-US"/>
        </w:rPr>
        <w:t>obštudijskih</w:t>
      </w:r>
      <w:proofErr w:type="spellEnd"/>
      <w:r w:rsidRPr="002E36E7">
        <w:rPr>
          <w:rFonts w:ascii="Tahoma" w:eastAsiaTheme="minorHAnsi" w:hAnsi="Tahoma" w:cs="Tahoma"/>
          <w:sz w:val="20"/>
          <w:szCs w:val="20"/>
          <w:lang w:eastAsia="en-US"/>
        </w:rPr>
        <w:t xml:space="preserve"> športnih dejavnosti ter programov tekmovalnega športa (športniki naj bi po končani tekmovalni karieri ostali športno dejavni). Sofinancirajo se celoletni programi športne rekreacije, ki imajo visok zdravstveni učinek (splošna gibalna vadba, korekcija telesne drže, aerobne vsebine ipd.).</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49.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8 do 15 udeležencev starejših od 19 let,</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15. V primeru, da je število udeležencev programa manjše od 15, vendar ne manj kot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9. Šport starejših</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 starejših so različne oblike športno-rekreativne dejavnost oseb nad 65. letom starosti in prestavlja nadaljevanje športne rekreacije iz odrasle dobe. Posebnost teh oblik športno-rekreativne vadbe so prilagoditve vsebin in načinov njihovega izvajanja zmožnostim posameznika, ki izhajajo iz procesov staranja in njihovih zdravstvenih posebnosti. Zato mora izvajanje teh programov temeljiti na ustreznem sodelovanju posebej strokovno izobraženega kadra (kineziologov) z zdravstvenimi delavci in strokovno usposobljenimi kadri za šport starejših.</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Sofinancirajo se celoletni gibalni programi za starejše.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gre za celoletni športni program,</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vadba je organizirana v skupini, ki šteje od 8 do 15 udeležencev starejših od 65 let,</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vadbo vodi ustrezno strokovno izobražen oziroma usposobljen kader za izvedbo gibalnih programov za starejše.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53.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 (v obsegu programa, vendar največ 80 ur letno):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strokovni kader,</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uporaba športnih objektov in površin za šport.</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Število udeležencev programa je najmanj 15. V primeru, da je število udeležencev programa manjše od 15, vendar ne manj kot 8, se vrednost sofinanciranja programa sorazmerno zniža glede na dejansko število udeležencev.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III. ŠPORTNI OBJEKTI IN POVRŠINE ZA ŠPORT V NARAVI</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54.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 sredstev LPŠ se lahko sofinancira načrtovanje, gradnja, obnova in investicijsko vzdrževanje športnih objektov in površin za šport v naravi.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Prednost pri sofinanciranju iz LPŠ imajo vadbeni športni objekti in površine za šport v naravi, ki so brezplačno dostopne vsem (npr. otoki športa za vse, trimske steze, zunanja igrišča, planinske, tekaške in kolesarske poti ipd.)</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Načrtovanje, gradnja, obnova in investicijsko vzdrževanje športnih objektov v lasti občine, ni predmet tega odloka.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(4) Obratovanje in redno vzdrževanje športnih objektov v lasti občine prav tako ni predmet tega odloka.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55.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(pogoji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sofinanciranje tega področja športa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izvajalec je s svojimi programi uvrščen v LPŠ,</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izvajalec objekt oziroma opremo potrebuje za izvajanje športnih programov uvrščenih v LPŠ.</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56.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(obseg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Višina sredstev za sofinanciranje investicij v športne objekte in površine za šport v naravi ter nakup opreme se določi z LPŠ glede na proračunske zmožnosti.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Merila za vrednotenje vlaganj v športne objekte in površine v naravi ter opremo so navedena v Tabeli 4:</w:t>
      </w:r>
    </w:p>
    <w:tbl>
      <w:tblPr>
        <w:tblW w:w="6607"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35"/>
        <w:gridCol w:w="1772"/>
      </w:tblGrid>
      <w:tr w:rsidR="002E36E7" w:rsidRPr="002E36E7" w:rsidTr="002E36E7">
        <w:trPr>
          <w:trHeight w:val="283"/>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predmet</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točke</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hideMark/>
          </w:tcPr>
          <w:p w:rsidR="002E36E7" w:rsidRPr="002E36E7" w:rsidRDefault="002E36E7" w:rsidP="002E36E7">
            <w:pPr>
              <w:rPr>
                <w:rFonts w:ascii="Tahoma" w:hAnsi="Tahoma" w:cs="Tahoma"/>
                <w:sz w:val="16"/>
                <w:szCs w:val="16"/>
              </w:rPr>
            </w:pPr>
            <w:r w:rsidRPr="002E36E7">
              <w:rPr>
                <w:rFonts w:ascii="Tahoma" w:hAnsi="Tahoma" w:cs="Tahoma"/>
                <w:sz w:val="16"/>
                <w:szCs w:val="16"/>
              </w:rPr>
              <w:t>dostopnost vsem občanom</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0 - 50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obnova obstoječih športnih objektov in površin za šport v naravi</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0 - 100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Potrebnost nakupa opreme za izvajanje športnih programov</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0 - 200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Vrednost investicije</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200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rPr>
                <w:rFonts w:ascii="Tahoma" w:hAnsi="Tahoma" w:cs="Tahoma"/>
                <w:sz w:val="16"/>
                <w:szCs w:val="16"/>
              </w:rPr>
            </w:pPr>
            <w:r w:rsidRPr="002E36E7">
              <w:rPr>
                <w:rFonts w:ascii="Tahoma" w:hAnsi="Tahoma" w:cs="Tahoma"/>
                <w:sz w:val="16"/>
                <w:szCs w:val="16"/>
              </w:rPr>
              <w:t>Zagotavljanje vadbenih površin za več športnih panog</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0 - 300</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IV. RAZVOJNE DEJAVNOSTI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4.1.  Usposabljanje in izpopolnjevanje strokovnih kadrov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57.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sofinanciranja)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usposabljanja in izpopolnjevanja strokovnih kadrov v športu (seminarji za pridobitev oziroma potrditev licenc za vodenje ekip in posameznikov na uradnih tekmah in tekmovanjih nacionalnih panožnih športnih zvez).</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58.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usposabljanja in izpopolnjevanja se sofinancirajo samo izvajalcem športnih programov, ki so se v LPŠ uvrstili s programi tekmovalnega športa otrok in mladine.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59.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(obseg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stroški prijavnine oziroma kotizacije za največ 5 udeležencev na izvajalca. Vsakemu udeležencu se sofinancirajo stroški udeležbe na enem izpopolnjevanju oz. usposabljanju letno.</w:t>
      </w:r>
    </w:p>
    <w:p w:rsidR="00C5447A"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Vrednotenje programov usposabljanj in izobraževanj v točkah za posameznega kandidata, ki se je udeležil posameznega usposabljanja oz. izobraževanja je navedeno v Tabeli 5:</w:t>
      </w:r>
    </w:p>
    <w:p w:rsidR="00C5447A" w:rsidRDefault="00C5447A">
      <w:pPr>
        <w:rPr>
          <w:rFonts w:ascii="Tahoma" w:eastAsiaTheme="minorHAnsi" w:hAnsi="Tahoma" w:cs="Tahoma"/>
          <w:sz w:val="20"/>
          <w:szCs w:val="20"/>
          <w:lang w:eastAsia="en-US"/>
        </w:rPr>
      </w:pPr>
      <w:r>
        <w:rPr>
          <w:rFonts w:ascii="Tahoma" w:eastAsiaTheme="minorHAnsi" w:hAnsi="Tahoma" w:cs="Tahoma"/>
          <w:sz w:val="20"/>
          <w:szCs w:val="20"/>
          <w:lang w:eastAsia="en-US"/>
        </w:rPr>
        <w:br w:type="page"/>
      </w:r>
    </w:p>
    <w:p w:rsidR="002E36E7" w:rsidRPr="002E36E7" w:rsidRDefault="002E36E7" w:rsidP="002E36E7">
      <w:pPr>
        <w:spacing w:line="276" w:lineRule="auto"/>
        <w:jc w:val="both"/>
        <w:rPr>
          <w:rFonts w:ascii="Tahoma" w:eastAsiaTheme="minorHAnsi" w:hAnsi="Tahoma" w:cs="Tahoma"/>
          <w:sz w:val="20"/>
          <w:szCs w:val="20"/>
          <w:lang w:eastAsia="en-US"/>
        </w:rPr>
      </w:pP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35"/>
        <w:gridCol w:w="1772"/>
      </w:tblGrid>
      <w:tr w:rsidR="002E36E7" w:rsidRPr="002E36E7" w:rsidTr="002E36E7">
        <w:trPr>
          <w:trHeight w:val="283"/>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predmet</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b/>
                <w:sz w:val="16"/>
                <w:szCs w:val="16"/>
              </w:rPr>
            </w:pPr>
            <w:r w:rsidRPr="002E36E7">
              <w:rPr>
                <w:rFonts w:ascii="Tahoma" w:hAnsi="Tahoma" w:cs="Tahoma"/>
                <w:b/>
                <w:sz w:val="16"/>
                <w:szCs w:val="16"/>
              </w:rPr>
              <w:t>točke/ kandidata</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hideMark/>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Izpopolnjevanje (licenciranje)</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50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Usposabljanje (1. Stopnja)</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100</w:t>
            </w:r>
          </w:p>
        </w:tc>
      </w:tr>
      <w:tr w:rsidR="002E36E7" w:rsidRPr="002E36E7" w:rsidTr="002E36E7">
        <w:trPr>
          <w:jc w:val="center"/>
        </w:trPr>
        <w:tc>
          <w:tcPr>
            <w:tcW w:w="4835" w:type="dxa"/>
            <w:shd w:val="clear" w:color="auto" w:fill="auto"/>
            <w:tcMar>
              <w:top w:w="30" w:type="dxa"/>
              <w:left w:w="30" w:type="dxa"/>
              <w:bottom w:w="120" w:type="dxa"/>
              <w:right w:w="30" w:type="dxa"/>
            </w:tcMar>
            <w:vAlign w:val="center"/>
          </w:tcPr>
          <w:p w:rsidR="002E36E7" w:rsidRPr="002E36E7" w:rsidRDefault="002E36E7" w:rsidP="002E36E7">
            <w:pPr>
              <w:jc w:val="both"/>
              <w:rPr>
                <w:rFonts w:ascii="Tahoma" w:hAnsi="Tahoma" w:cs="Tahoma"/>
                <w:sz w:val="16"/>
                <w:szCs w:val="16"/>
              </w:rPr>
            </w:pPr>
            <w:r w:rsidRPr="002E36E7">
              <w:rPr>
                <w:rFonts w:ascii="Tahoma" w:hAnsi="Tahoma" w:cs="Tahoma"/>
                <w:sz w:val="16"/>
                <w:szCs w:val="16"/>
              </w:rPr>
              <w:t>Usposabljanje (2. Stopnja)</w:t>
            </w:r>
          </w:p>
        </w:tc>
        <w:tc>
          <w:tcPr>
            <w:tcW w:w="1772" w:type="dxa"/>
            <w:shd w:val="clear" w:color="auto" w:fill="auto"/>
            <w:tcMar>
              <w:top w:w="30" w:type="dxa"/>
              <w:left w:w="30" w:type="dxa"/>
              <w:bottom w:w="120" w:type="dxa"/>
              <w:right w:w="30" w:type="dxa"/>
            </w:tcMar>
            <w:vAlign w:val="center"/>
          </w:tcPr>
          <w:p w:rsidR="002E36E7" w:rsidRPr="002E36E7" w:rsidRDefault="002E36E7" w:rsidP="002E36E7">
            <w:pPr>
              <w:jc w:val="center"/>
              <w:rPr>
                <w:rFonts w:ascii="Tahoma" w:hAnsi="Tahoma" w:cs="Tahoma"/>
                <w:sz w:val="16"/>
                <w:szCs w:val="16"/>
              </w:rPr>
            </w:pPr>
            <w:r w:rsidRPr="002E36E7">
              <w:rPr>
                <w:rFonts w:ascii="Tahoma" w:hAnsi="Tahoma" w:cs="Tahoma"/>
                <w:sz w:val="16"/>
                <w:szCs w:val="16"/>
              </w:rPr>
              <w:t>150</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V. ORGANIZIRANOSTI V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5.1. Delovanje športnih društev</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60.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(vsebina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Športna društva, kot nepridobitne športne organizacije, predstavljajo temelj evropskega modela športa zunaj šolskega sistema. Iz LPŠ se zagotovijo sredstva za kritje osnovnih materialnih stroškov njihovega delovanja.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61.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 za sofinanciranje je: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športno društvo ima vsaj 15 članov s plačano članarino.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62.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(obseg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član društva s plačano članarino</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 točka/člana</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 xml:space="preserve">organizirana vadbena skupina v </w:t>
            </w:r>
            <w:proofErr w:type="spellStart"/>
            <w:r w:rsidRPr="002E36E7">
              <w:rPr>
                <w:rFonts w:ascii="Tahoma" w:hAnsi="Tahoma" w:cs="Tahoma"/>
                <w:sz w:val="20"/>
                <w:szCs w:val="20"/>
              </w:rPr>
              <w:t>netekmovalnem</w:t>
            </w:r>
            <w:proofErr w:type="spellEnd"/>
            <w:r w:rsidRPr="002E36E7">
              <w:rPr>
                <w:rFonts w:ascii="Tahoma" w:hAnsi="Tahoma" w:cs="Tahoma"/>
                <w:sz w:val="20"/>
                <w:szCs w:val="20"/>
              </w:rPr>
              <w:t xml:space="preserve"> športu</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15 točk/skupino</w:t>
            </w:r>
          </w:p>
        </w:tc>
      </w:tr>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organizirana vadbena skupina v tekmovalnem športu</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0"/>
              </w:rPr>
              <w:t>30 točk/skupino</w:t>
            </w:r>
          </w:p>
        </w:tc>
      </w:tr>
    </w:tbl>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Organizirana vadbena skupina je skupina, ki izvaja vsaj celoletni športni program.</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5.2. Razvoj športnih pripomočkov in opreme</w:t>
      </w:r>
    </w:p>
    <w:p w:rsidR="002E36E7" w:rsidRPr="002E36E7" w:rsidRDefault="002E36E7" w:rsidP="002E36E7">
      <w:pPr>
        <w:spacing w:after="200" w:line="276" w:lineRule="auto"/>
        <w:rPr>
          <w:rFonts w:ascii="Tahoma" w:eastAsiaTheme="minorHAnsi" w:hAnsi="Tahoma" w:cs="Tahoma"/>
          <w:sz w:val="20"/>
          <w:szCs w:val="22"/>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63.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(vsebina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(1) Sofinancira se nakup opreme in ostalih osnovnih sredstev, ki so potrebna za izvajanje športne dejavnosti izvajalcev LPŠ. </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64.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uvrstitev v LPŠ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nakup opreme in ostalih osnovnih sredstev za izvajanje športne dejavnosti se sofinancira izvajalcem športnih programov, ki so se v LPŠ uvrstili s programi tekmovalnega športa otrok in mladine.</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65.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(obseg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 se:</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E36E7" w:rsidRPr="002E36E7" w:rsidTr="002E36E7">
        <w:tc>
          <w:tcPr>
            <w:tcW w:w="6062" w:type="dxa"/>
          </w:tcPr>
          <w:p w:rsidR="002E36E7" w:rsidRPr="002E36E7" w:rsidRDefault="002E36E7" w:rsidP="002E36E7">
            <w:pPr>
              <w:numPr>
                <w:ilvl w:val="0"/>
                <w:numId w:val="31"/>
              </w:numPr>
              <w:contextualSpacing/>
              <w:jc w:val="both"/>
              <w:rPr>
                <w:rFonts w:ascii="Tahoma" w:hAnsi="Tahoma" w:cs="Tahoma"/>
                <w:sz w:val="20"/>
                <w:szCs w:val="20"/>
              </w:rPr>
            </w:pPr>
            <w:r w:rsidRPr="002E36E7">
              <w:rPr>
                <w:rFonts w:ascii="Tahoma" w:hAnsi="Tahoma" w:cs="Tahoma"/>
                <w:sz w:val="20"/>
                <w:szCs w:val="20"/>
              </w:rPr>
              <w:t>nakup opreme in osnovnih sredstev</w:t>
            </w:r>
          </w:p>
        </w:tc>
        <w:tc>
          <w:tcPr>
            <w:tcW w:w="3150" w:type="dxa"/>
          </w:tcPr>
          <w:p w:rsidR="002E36E7" w:rsidRPr="002E36E7" w:rsidRDefault="002E36E7" w:rsidP="002E36E7">
            <w:pPr>
              <w:jc w:val="right"/>
              <w:rPr>
                <w:rFonts w:ascii="Tahoma" w:hAnsi="Tahoma" w:cs="Tahoma"/>
                <w:sz w:val="20"/>
                <w:szCs w:val="20"/>
              </w:rPr>
            </w:pPr>
            <w:r w:rsidRPr="002E36E7">
              <w:rPr>
                <w:rFonts w:ascii="Tahoma" w:hAnsi="Tahoma" w:cs="Tahoma"/>
                <w:sz w:val="20"/>
                <w:szCs w:val="22"/>
              </w:rPr>
              <w:t>0 – 1000 točk</w:t>
            </w:r>
          </w:p>
        </w:tc>
      </w:tr>
    </w:tbl>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VI. ŠPORTNE PRIREDITVE IN PROMOCIJE ŠPORTA</w:t>
      </w:r>
    </w:p>
    <w:p w:rsidR="002E36E7" w:rsidRPr="002E36E7" w:rsidRDefault="002E36E7" w:rsidP="002E36E7">
      <w:pPr>
        <w:spacing w:line="276" w:lineRule="auto"/>
        <w:jc w:val="center"/>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66.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(vsebina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Sofinancirajo se športne prireditve tekmovalnega in rekreativnega značaja, ki so organizirane na lokalnem, državnem ali mednarodnem nivoju in ne sodijo med velike mednarodne športne prireditve, kot ji določa zakon o športu.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67. člen </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 xml:space="preserve">(pogoji sofinanciranja) </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Pogoji za sofinanciranje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prireditev se odvija na teritoriju občine,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prireditev ima večletno tradicijo,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prireditev je odmevna in poznana v širšem slovenskem prostoru.</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Športne prireditve morajo izpolnjevati naslednje pogoje:</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občinska športna prireditev je objavljena v občinskem glasilu ali na krajevno običajen način,</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državna športna prireditev je objavljena v koledarju NPŠZ oziroma v enem od koledarju športno rekreativnih prireditev.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mednarodna športna prireditev je objavljena v mednarodnem koledarju mednarodne športne zveze.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Posameznemu izvajalcu se sofinancira skupaj največ 5 športnih prireditev na leto.</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C5125B" w:rsidRDefault="002E36E7" w:rsidP="002E36E7">
      <w:pPr>
        <w:spacing w:line="276" w:lineRule="auto"/>
        <w:jc w:val="center"/>
        <w:rPr>
          <w:rFonts w:ascii="Tahoma" w:eastAsiaTheme="minorHAnsi" w:hAnsi="Tahoma" w:cs="Tahoma"/>
          <w:sz w:val="20"/>
          <w:szCs w:val="20"/>
          <w:lang w:eastAsia="en-US"/>
        </w:rPr>
      </w:pPr>
      <w:r w:rsidRPr="00C5125B">
        <w:rPr>
          <w:rFonts w:ascii="Tahoma" w:eastAsiaTheme="minorHAnsi" w:hAnsi="Tahoma" w:cs="Tahoma"/>
          <w:sz w:val="20"/>
          <w:szCs w:val="20"/>
          <w:lang w:eastAsia="en-US"/>
        </w:rPr>
        <w:t xml:space="preserve">68. člen </w:t>
      </w:r>
    </w:p>
    <w:p w:rsidR="002E36E7" w:rsidRPr="00C5125B" w:rsidRDefault="002E36E7" w:rsidP="002E36E7">
      <w:pPr>
        <w:spacing w:line="276" w:lineRule="auto"/>
        <w:jc w:val="center"/>
        <w:rPr>
          <w:rFonts w:ascii="Tahoma" w:eastAsiaTheme="minorHAnsi" w:hAnsi="Tahoma" w:cs="Tahoma"/>
          <w:sz w:val="20"/>
          <w:szCs w:val="20"/>
          <w:lang w:eastAsia="en-US"/>
        </w:rPr>
      </w:pPr>
      <w:r w:rsidRPr="00C5125B">
        <w:rPr>
          <w:rFonts w:ascii="Tahoma" w:eastAsiaTheme="minorHAnsi" w:hAnsi="Tahoma" w:cs="Tahoma"/>
          <w:sz w:val="20"/>
          <w:szCs w:val="20"/>
          <w:lang w:eastAsia="en-US"/>
        </w:rPr>
        <w:t xml:space="preserve">(obseg sofinanciranja) </w:t>
      </w:r>
    </w:p>
    <w:p w:rsidR="002E36E7" w:rsidRPr="00C5125B" w:rsidRDefault="002E36E7" w:rsidP="002E36E7">
      <w:pPr>
        <w:spacing w:line="276" w:lineRule="auto"/>
        <w:jc w:val="both"/>
        <w:rPr>
          <w:rFonts w:ascii="Tahoma" w:eastAsiaTheme="minorHAnsi" w:hAnsi="Tahoma" w:cs="Tahoma"/>
          <w:sz w:val="20"/>
          <w:szCs w:val="20"/>
          <w:lang w:eastAsia="en-US"/>
        </w:rPr>
      </w:pPr>
      <w:r w:rsidRPr="00C5125B">
        <w:rPr>
          <w:rFonts w:ascii="Tahoma" w:eastAsiaTheme="minorHAnsi" w:hAnsi="Tahoma" w:cs="Tahoma"/>
          <w:sz w:val="20"/>
          <w:szCs w:val="20"/>
          <w:lang w:eastAsia="en-US"/>
        </w:rPr>
        <w:t>(1) Sofinancirajo se materialni stroški izvedbe športne prireditve, glede na vrsto prireditve in število udeležencev, navedenih v Tabeli 6</w:t>
      </w:r>
      <w:r w:rsidR="00C5125B" w:rsidRPr="00C5125B">
        <w:rPr>
          <w:rFonts w:ascii="Tahoma" w:eastAsiaTheme="minorHAnsi" w:hAnsi="Tahoma" w:cs="Tahoma"/>
          <w:sz w:val="20"/>
          <w:szCs w:val="20"/>
          <w:lang w:eastAsia="en-US"/>
        </w:rPr>
        <w:t xml:space="preserve"> (točke/prireditev)</w:t>
      </w:r>
      <w:r w:rsidRPr="00C5125B">
        <w:rPr>
          <w:rFonts w:ascii="Tahoma" w:eastAsiaTheme="minorHAnsi" w:hAnsi="Tahoma" w:cs="Tahoma"/>
          <w:sz w:val="20"/>
          <w:szCs w:val="20"/>
          <w:lang w:eastAsia="en-US"/>
        </w:rPr>
        <w:t xml:space="preserve">: </w:t>
      </w:r>
    </w:p>
    <w:tbl>
      <w:tblPr>
        <w:tblStyle w:val="TableNormal"/>
        <w:tblW w:w="8753" w:type="dxa"/>
        <w:jc w:val="center"/>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5"/>
        <w:gridCol w:w="1145"/>
        <w:gridCol w:w="1159"/>
        <w:gridCol w:w="1171"/>
        <w:gridCol w:w="1164"/>
        <w:gridCol w:w="1169"/>
        <w:gridCol w:w="1090"/>
      </w:tblGrid>
      <w:tr w:rsidR="00E637F1" w:rsidRPr="00C5125B" w:rsidTr="002E36E7">
        <w:trPr>
          <w:trHeight w:val="311"/>
          <w:jc w:val="center"/>
        </w:trPr>
        <w:tc>
          <w:tcPr>
            <w:tcW w:w="1855" w:type="dxa"/>
            <w:vMerge w:val="restart"/>
            <w:vAlign w:val="center"/>
          </w:tcPr>
          <w:p w:rsidR="002E36E7" w:rsidRPr="00C5125B" w:rsidRDefault="002E36E7" w:rsidP="002E36E7">
            <w:pPr>
              <w:jc w:val="center"/>
              <w:rPr>
                <w:rFonts w:ascii="Tahoma" w:hAnsi="Tahoma" w:cs="Tahoma"/>
                <w:b/>
                <w:sz w:val="16"/>
                <w:szCs w:val="16"/>
                <w:lang w:val="sl-SI"/>
              </w:rPr>
            </w:pPr>
            <w:r w:rsidRPr="00C5125B">
              <w:rPr>
                <w:rFonts w:ascii="Tahoma" w:hAnsi="Tahoma" w:cs="Tahoma"/>
                <w:b/>
                <w:sz w:val="16"/>
                <w:szCs w:val="16"/>
                <w:lang w:val="sl-SI"/>
              </w:rPr>
              <w:t>VRSTA ŠPORTNE PRIREDITVE</w:t>
            </w:r>
          </w:p>
        </w:tc>
        <w:tc>
          <w:tcPr>
            <w:tcW w:w="6898" w:type="dxa"/>
            <w:gridSpan w:val="6"/>
            <w:vAlign w:val="center"/>
          </w:tcPr>
          <w:p w:rsidR="002E36E7" w:rsidRPr="00C5125B" w:rsidRDefault="002E36E7" w:rsidP="002E36E7">
            <w:pPr>
              <w:jc w:val="center"/>
              <w:rPr>
                <w:rFonts w:ascii="Tahoma" w:hAnsi="Tahoma" w:cs="Tahoma"/>
                <w:b/>
                <w:sz w:val="16"/>
                <w:szCs w:val="16"/>
                <w:lang w:val="sl-SI"/>
              </w:rPr>
            </w:pPr>
            <w:r w:rsidRPr="00C5125B">
              <w:rPr>
                <w:rFonts w:ascii="Tahoma" w:hAnsi="Tahoma" w:cs="Tahoma"/>
                <w:b/>
                <w:sz w:val="16"/>
                <w:szCs w:val="16"/>
                <w:lang w:val="sl-SI"/>
              </w:rPr>
              <w:t>število aktivnih udeležencev*</w:t>
            </w:r>
          </w:p>
        </w:tc>
      </w:tr>
      <w:tr w:rsidR="00E637F1" w:rsidRPr="00C5125B" w:rsidTr="002E36E7">
        <w:trPr>
          <w:trHeight w:val="314"/>
          <w:jc w:val="center"/>
        </w:trPr>
        <w:tc>
          <w:tcPr>
            <w:tcW w:w="1855" w:type="dxa"/>
            <w:vMerge/>
            <w:tcBorders>
              <w:top w:val="nil"/>
            </w:tcBorders>
            <w:vAlign w:val="center"/>
          </w:tcPr>
          <w:p w:rsidR="002E36E7" w:rsidRPr="00C5125B" w:rsidRDefault="002E36E7" w:rsidP="002E36E7">
            <w:pPr>
              <w:jc w:val="center"/>
              <w:rPr>
                <w:rFonts w:ascii="Tahoma" w:hAnsi="Tahoma" w:cs="Tahoma"/>
                <w:sz w:val="16"/>
                <w:szCs w:val="16"/>
                <w:lang w:val="sl-SI"/>
              </w:rPr>
            </w:pPr>
          </w:p>
        </w:tc>
        <w:tc>
          <w:tcPr>
            <w:tcW w:w="1145"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do 50</w:t>
            </w:r>
          </w:p>
        </w:tc>
        <w:tc>
          <w:tcPr>
            <w:tcW w:w="115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51 - 100</w:t>
            </w:r>
          </w:p>
        </w:tc>
        <w:tc>
          <w:tcPr>
            <w:tcW w:w="1171"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101- 150</w:t>
            </w:r>
          </w:p>
        </w:tc>
        <w:tc>
          <w:tcPr>
            <w:tcW w:w="1164"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151 - 200</w:t>
            </w:r>
          </w:p>
        </w:tc>
        <w:tc>
          <w:tcPr>
            <w:tcW w:w="116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201 - 250</w:t>
            </w:r>
          </w:p>
        </w:tc>
        <w:tc>
          <w:tcPr>
            <w:tcW w:w="1090"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nad 250</w:t>
            </w:r>
          </w:p>
        </w:tc>
      </w:tr>
      <w:tr w:rsidR="00E637F1" w:rsidRPr="00C5125B" w:rsidTr="002E36E7">
        <w:trPr>
          <w:trHeight w:val="311"/>
          <w:jc w:val="center"/>
        </w:trPr>
        <w:tc>
          <w:tcPr>
            <w:tcW w:w="1855" w:type="dxa"/>
            <w:vAlign w:val="center"/>
          </w:tcPr>
          <w:p w:rsidR="002E36E7" w:rsidRPr="00C5125B" w:rsidRDefault="002E36E7" w:rsidP="002E36E7">
            <w:pPr>
              <w:rPr>
                <w:rFonts w:ascii="Tahoma" w:hAnsi="Tahoma" w:cs="Tahoma"/>
                <w:sz w:val="16"/>
                <w:szCs w:val="16"/>
                <w:lang w:val="sl-SI"/>
              </w:rPr>
            </w:pPr>
            <w:r w:rsidRPr="00C5125B">
              <w:rPr>
                <w:rFonts w:ascii="Tahoma" w:hAnsi="Tahoma" w:cs="Tahoma"/>
                <w:sz w:val="16"/>
                <w:szCs w:val="16"/>
                <w:lang w:val="sl-SI"/>
              </w:rPr>
              <w:t>Občinska</w:t>
            </w:r>
          </w:p>
        </w:tc>
        <w:tc>
          <w:tcPr>
            <w:tcW w:w="1145"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10</w:t>
            </w:r>
          </w:p>
        </w:tc>
        <w:tc>
          <w:tcPr>
            <w:tcW w:w="115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25</w:t>
            </w:r>
          </w:p>
        </w:tc>
        <w:tc>
          <w:tcPr>
            <w:tcW w:w="1171"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50</w:t>
            </w:r>
          </w:p>
        </w:tc>
        <w:tc>
          <w:tcPr>
            <w:tcW w:w="1164"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75</w:t>
            </w:r>
          </w:p>
        </w:tc>
        <w:tc>
          <w:tcPr>
            <w:tcW w:w="116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90</w:t>
            </w:r>
          </w:p>
        </w:tc>
        <w:tc>
          <w:tcPr>
            <w:tcW w:w="1090"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100</w:t>
            </w:r>
          </w:p>
        </w:tc>
      </w:tr>
      <w:tr w:rsidR="00E637F1" w:rsidRPr="00C5125B" w:rsidTr="002E36E7">
        <w:trPr>
          <w:trHeight w:val="311"/>
          <w:jc w:val="center"/>
        </w:trPr>
        <w:tc>
          <w:tcPr>
            <w:tcW w:w="1855" w:type="dxa"/>
            <w:vAlign w:val="center"/>
          </w:tcPr>
          <w:p w:rsidR="002E36E7" w:rsidRPr="00C5125B" w:rsidRDefault="002E36E7" w:rsidP="002E36E7">
            <w:pPr>
              <w:rPr>
                <w:rFonts w:ascii="Tahoma" w:hAnsi="Tahoma" w:cs="Tahoma"/>
                <w:sz w:val="16"/>
                <w:szCs w:val="16"/>
                <w:lang w:val="sl-SI"/>
              </w:rPr>
            </w:pPr>
            <w:r w:rsidRPr="00C5125B">
              <w:rPr>
                <w:rFonts w:ascii="Tahoma" w:hAnsi="Tahoma" w:cs="Tahoma"/>
                <w:sz w:val="16"/>
                <w:szCs w:val="16"/>
                <w:lang w:val="sl-SI"/>
              </w:rPr>
              <w:t>Državna</w:t>
            </w:r>
          </w:p>
        </w:tc>
        <w:tc>
          <w:tcPr>
            <w:tcW w:w="1145"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50</w:t>
            </w:r>
          </w:p>
        </w:tc>
        <w:tc>
          <w:tcPr>
            <w:tcW w:w="115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125</w:t>
            </w:r>
          </w:p>
        </w:tc>
        <w:tc>
          <w:tcPr>
            <w:tcW w:w="1171"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250</w:t>
            </w:r>
          </w:p>
        </w:tc>
        <w:tc>
          <w:tcPr>
            <w:tcW w:w="1164"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375</w:t>
            </w:r>
          </w:p>
        </w:tc>
        <w:tc>
          <w:tcPr>
            <w:tcW w:w="116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450</w:t>
            </w:r>
          </w:p>
        </w:tc>
        <w:tc>
          <w:tcPr>
            <w:tcW w:w="1090"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500</w:t>
            </w:r>
          </w:p>
        </w:tc>
      </w:tr>
      <w:tr w:rsidR="00E637F1" w:rsidRPr="00C5125B" w:rsidTr="002E36E7">
        <w:trPr>
          <w:trHeight w:val="311"/>
          <w:jc w:val="center"/>
        </w:trPr>
        <w:tc>
          <w:tcPr>
            <w:tcW w:w="1855" w:type="dxa"/>
            <w:vAlign w:val="center"/>
          </w:tcPr>
          <w:p w:rsidR="002E36E7" w:rsidRPr="00C5125B" w:rsidRDefault="002E36E7" w:rsidP="002E36E7">
            <w:pPr>
              <w:rPr>
                <w:rFonts w:ascii="Tahoma" w:hAnsi="Tahoma" w:cs="Tahoma"/>
                <w:sz w:val="16"/>
                <w:szCs w:val="16"/>
                <w:lang w:val="sl-SI"/>
              </w:rPr>
            </w:pPr>
            <w:r w:rsidRPr="00C5125B">
              <w:rPr>
                <w:rFonts w:ascii="Tahoma" w:hAnsi="Tahoma" w:cs="Tahoma"/>
                <w:sz w:val="16"/>
                <w:szCs w:val="16"/>
                <w:lang w:val="sl-SI"/>
              </w:rPr>
              <w:t>Mednarodna</w:t>
            </w:r>
          </w:p>
        </w:tc>
        <w:tc>
          <w:tcPr>
            <w:tcW w:w="1145"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100</w:t>
            </w:r>
          </w:p>
        </w:tc>
        <w:tc>
          <w:tcPr>
            <w:tcW w:w="115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250</w:t>
            </w:r>
          </w:p>
        </w:tc>
        <w:tc>
          <w:tcPr>
            <w:tcW w:w="1171"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500</w:t>
            </w:r>
          </w:p>
        </w:tc>
        <w:tc>
          <w:tcPr>
            <w:tcW w:w="1164"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750</w:t>
            </w:r>
          </w:p>
        </w:tc>
        <w:tc>
          <w:tcPr>
            <w:tcW w:w="1169"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900</w:t>
            </w:r>
          </w:p>
        </w:tc>
        <w:tc>
          <w:tcPr>
            <w:tcW w:w="1090" w:type="dxa"/>
            <w:vAlign w:val="center"/>
          </w:tcPr>
          <w:p w:rsidR="002E36E7" w:rsidRPr="00C5125B" w:rsidRDefault="002E36E7" w:rsidP="002E36E7">
            <w:pPr>
              <w:jc w:val="center"/>
              <w:rPr>
                <w:rFonts w:ascii="Tahoma" w:hAnsi="Tahoma" w:cs="Tahoma"/>
                <w:sz w:val="16"/>
                <w:szCs w:val="16"/>
                <w:lang w:val="sl-SI"/>
              </w:rPr>
            </w:pPr>
            <w:r w:rsidRPr="00C5125B">
              <w:rPr>
                <w:rFonts w:ascii="Tahoma" w:hAnsi="Tahoma" w:cs="Tahoma"/>
                <w:sz w:val="16"/>
                <w:szCs w:val="16"/>
                <w:lang w:val="sl-SI"/>
              </w:rPr>
              <w:t>1000</w:t>
            </w:r>
          </w:p>
        </w:tc>
      </w:tr>
    </w:tbl>
    <w:p w:rsidR="002E36E7" w:rsidRPr="00C5125B" w:rsidRDefault="002E36E7" w:rsidP="002E36E7">
      <w:pPr>
        <w:widowControl w:val="0"/>
        <w:autoSpaceDE w:val="0"/>
        <w:autoSpaceDN w:val="0"/>
        <w:jc w:val="both"/>
        <w:rPr>
          <w:rFonts w:ascii="Tahoma" w:hAnsi="Tahoma" w:cs="Tahoma"/>
          <w:sz w:val="16"/>
          <w:szCs w:val="16"/>
        </w:rPr>
      </w:pPr>
      <w:r w:rsidRPr="00C5125B">
        <w:rPr>
          <w:rFonts w:ascii="Tahoma" w:hAnsi="Tahoma" w:cs="Tahoma"/>
          <w:sz w:val="16"/>
          <w:szCs w:val="16"/>
        </w:rPr>
        <w:t>*Število aktivnih udeležencev predstavlja število udeležencev na zadnji izvedeni športni prireditvi. V kolikor se prireditev organizira prvič, se upošteva predvideno število udeležencev po oceni organizatorja.</w:t>
      </w:r>
    </w:p>
    <w:p w:rsidR="002E36E7" w:rsidRPr="00C5125B" w:rsidRDefault="002E36E7" w:rsidP="002E36E7">
      <w:pPr>
        <w:spacing w:line="276" w:lineRule="auto"/>
        <w:jc w:val="center"/>
        <w:rPr>
          <w:rFonts w:ascii="Tahoma" w:eastAsiaTheme="minorHAnsi" w:hAnsi="Tahoma" w:cs="Tahoma"/>
          <w:b/>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VII. VSEBINA POGODB O SOFINANCIRANJU TER NAČIN IZVAJANJA NADZORA NAD PROGRAMI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69.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pogodbe)</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Za sofinanciranje izbranih izvajalcev LPŠ se sklene pogodba med občino in izvajalcem. Sestavine pogodbe o sofinanciranju so:</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naziv in naslov izvajalca,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vsebina in obseg programa,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čas realizacije programa,</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višina dodeljenih proračunskih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odobren obseg brezplačne uporabe javnih športnih objektov,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rok za porabo proračunskih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lastRenderedPageBreak/>
        <w:t>rok za izplačilo proračunskih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rok in način predložitve poročil in dokazil o porabi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način nadzora nad namensko porabo sredstev,</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določilo, da mora izvajalec ob nenamenski porabi sredstev, sredstva vrniti v proračun skupaj z zakonitimi zamudnimi obresti,</w:t>
      </w:r>
    </w:p>
    <w:p w:rsidR="002E36E7" w:rsidRPr="002E36E7" w:rsidRDefault="002E36E7" w:rsidP="002E36E7">
      <w:pPr>
        <w:numPr>
          <w:ilvl w:val="0"/>
          <w:numId w:val="31"/>
        </w:numPr>
        <w:spacing w:after="200" w:line="276" w:lineRule="auto"/>
        <w:contextualSpacing/>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druge medsebojne pravice in obveznosti.</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70.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(nadzor nad namensko porabo proračunskih sredstev)</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Izvajalec lahko dodeljena sredstva uporabi izključno za namen opredeljen v pogodbi.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(2) Občina ima kadarkoli pravico do nadzora nad porabo s pogodbo dodeljenih namenskih sredstev in uveljavljanih upravičenih stroškov. V primeru, da občina ugotovi nenamensko porabo prejetih proračunskih sredstev, se sofinanciranje takoj ustavi ter odstopi od pogodbe, že prejeta proračunska sredstva pa mora izvajalec vrniti v proračun skupaj z zakonitimi zamudnimi obrestmi vred, od dneva prejema do dneva vračila in povrniti morebitno škodo, ki je s tem nastala.</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(3) Izvajalec, ki krši pogodbena določila, ne more kandidirati za proračunska sredstva na naslednjem javnem razpisu.</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b/>
          <w:sz w:val="20"/>
          <w:szCs w:val="20"/>
          <w:lang w:eastAsia="en-US"/>
        </w:rPr>
      </w:pPr>
      <w:r w:rsidRPr="002E36E7">
        <w:rPr>
          <w:rFonts w:ascii="Tahoma" w:eastAsiaTheme="minorHAnsi" w:hAnsi="Tahoma" w:cs="Tahoma"/>
          <w:b/>
          <w:sz w:val="20"/>
          <w:szCs w:val="20"/>
          <w:lang w:eastAsia="en-US"/>
        </w:rPr>
        <w:t>IX. PREHODNA IN KONČNA DOLOČBA</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71.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(prenehanje veljavnosti)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Z dnem uveljavitve tega odloka preneha veljati Pravilnik o vrednotenju letnega programa športa v Občini Žirovnica (Uradni list RS, št. 112/09, 87/14 in 92/15).</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72. člen</w:t>
      </w:r>
    </w:p>
    <w:p w:rsidR="002E36E7" w:rsidRPr="002E36E7" w:rsidRDefault="002E36E7" w:rsidP="002E36E7">
      <w:pPr>
        <w:spacing w:line="276" w:lineRule="auto"/>
        <w:jc w:val="center"/>
        <w:rPr>
          <w:rFonts w:ascii="Tahoma" w:eastAsiaTheme="minorHAnsi" w:hAnsi="Tahoma" w:cs="Tahoma"/>
          <w:sz w:val="20"/>
          <w:szCs w:val="20"/>
          <w:lang w:eastAsia="en-US"/>
        </w:rPr>
      </w:pPr>
      <w:r w:rsidRPr="002E36E7">
        <w:rPr>
          <w:rFonts w:ascii="Tahoma" w:eastAsiaTheme="minorHAnsi" w:hAnsi="Tahoma" w:cs="Tahoma"/>
          <w:sz w:val="20"/>
          <w:szCs w:val="20"/>
          <w:lang w:eastAsia="en-US"/>
        </w:rPr>
        <w:t>(začetek veljavnosti)</w:t>
      </w: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(1) Ta odlok začne veljati naslednji dan po objavi v Uradnem listu Republike Slovenije.</w:t>
      </w:r>
    </w:p>
    <w:p w:rsidR="002E36E7" w:rsidRPr="002E36E7" w:rsidRDefault="002E36E7"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Datum:</w:t>
      </w:r>
    </w:p>
    <w:p w:rsidR="002E36E7" w:rsidRDefault="002E36E7" w:rsidP="002E36E7">
      <w:pPr>
        <w:spacing w:line="276" w:lineRule="auto"/>
        <w:jc w:val="both"/>
        <w:rPr>
          <w:rFonts w:ascii="Tahoma" w:eastAsiaTheme="minorHAnsi" w:hAnsi="Tahoma" w:cs="Tahoma"/>
          <w:sz w:val="20"/>
          <w:szCs w:val="20"/>
          <w:lang w:eastAsia="en-US"/>
        </w:rPr>
      </w:pPr>
      <w:r w:rsidRPr="002E36E7">
        <w:rPr>
          <w:rFonts w:ascii="Tahoma" w:eastAsiaTheme="minorHAnsi" w:hAnsi="Tahoma" w:cs="Tahoma"/>
          <w:sz w:val="20"/>
          <w:szCs w:val="20"/>
          <w:lang w:eastAsia="en-US"/>
        </w:rPr>
        <w:t>Številka: 007-0005/2018</w:t>
      </w:r>
    </w:p>
    <w:p w:rsidR="00325F59" w:rsidRPr="002E36E7" w:rsidRDefault="00325F59" w:rsidP="002E36E7">
      <w:pPr>
        <w:spacing w:line="276" w:lineRule="auto"/>
        <w:jc w:val="both"/>
        <w:rPr>
          <w:rFonts w:ascii="Tahoma" w:eastAsiaTheme="minorHAnsi" w:hAnsi="Tahoma" w:cs="Tahoma"/>
          <w:sz w:val="20"/>
          <w:szCs w:val="20"/>
          <w:lang w:eastAsia="en-US"/>
        </w:rPr>
      </w:pPr>
    </w:p>
    <w:p w:rsidR="002E36E7" w:rsidRPr="002E36E7" w:rsidRDefault="002E36E7" w:rsidP="002E36E7">
      <w:pPr>
        <w:spacing w:line="276" w:lineRule="auto"/>
        <w:jc w:val="right"/>
        <w:rPr>
          <w:rFonts w:ascii="Tahoma" w:eastAsiaTheme="minorHAnsi" w:hAnsi="Tahoma" w:cs="Tahoma"/>
          <w:b/>
          <w:sz w:val="20"/>
          <w:szCs w:val="22"/>
          <w:lang w:eastAsia="en-US"/>
        </w:rPr>
      </w:pPr>
      <w:r w:rsidRPr="002E36E7">
        <w:rPr>
          <w:rFonts w:ascii="Tahoma" w:eastAsiaTheme="minorHAnsi" w:hAnsi="Tahoma" w:cs="Tahoma"/>
          <w:b/>
          <w:sz w:val="20"/>
          <w:szCs w:val="22"/>
          <w:lang w:eastAsia="en-US"/>
        </w:rPr>
        <w:t>Leopold Pogačar</w:t>
      </w:r>
    </w:p>
    <w:p w:rsidR="002E36E7" w:rsidRPr="002E36E7" w:rsidRDefault="002E36E7" w:rsidP="002E36E7">
      <w:pPr>
        <w:spacing w:line="276" w:lineRule="auto"/>
        <w:ind w:right="423"/>
        <w:jc w:val="right"/>
        <w:rPr>
          <w:rFonts w:ascii="Tahoma" w:eastAsiaTheme="minorHAnsi" w:hAnsi="Tahoma" w:cs="Tahoma"/>
          <w:b/>
          <w:sz w:val="20"/>
          <w:szCs w:val="22"/>
          <w:lang w:eastAsia="en-US"/>
        </w:rPr>
      </w:pPr>
      <w:r w:rsidRPr="002E36E7">
        <w:rPr>
          <w:rFonts w:ascii="Tahoma" w:eastAsiaTheme="minorHAnsi" w:hAnsi="Tahoma" w:cs="Tahoma"/>
          <w:b/>
          <w:sz w:val="20"/>
          <w:szCs w:val="20"/>
          <w:lang w:eastAsia="en-US"/>
        </w:rPr>
        <w:t>ŽUPAN</w:t>
      </w:r>
    </w:p>
    <w:p w:rsidR="002E36E7" w:rsidRPr="002E36E7" w:rsidRDefault="002E36E7" w:rsidP="002E36E7">
      <w:pPr>
        <w:spacing w:after="200" w:line="276" w:lineRule="auto"/>
        <w:rPr>
          <w:rFonts w:ascii="Tahoma" w:eastAsiaTheme="minorHAnsi" w:hAnsi="Tahoma" w:cs="Tahoma"/>
          <w:sz w:val="20"/>
          <w:szCs w:val="20"/>
          <w:lang w:eastAsia="en-US"/>
        </w:rPr>
      </w:pPr>
    </w:p>
    <w:p w:rsidR="002F6779" w:rsidRDefault="002F6779" w:rsidP="000C1A23">
      <w:pPr>
        <w:jc w:val="both"/>
        <w:rPr>
          <w:rFonts w:ascii="Tahoma" w:hAnsi="Tahoma" w:cs="Tahoma"/>
          <w:sz w:val="20"/>
          <w:szCs w:val="20"/>
        </w:rPr>
      </w:pPr>
    </w:p>
    <w:p w:rsidR="002E36E7" w:rsidRDefault="002E36E7" w:rsidP="000C1A23">
      <w:pPr>
        <w:jc w:val="both"/>
        <w:rPr>
          <w:rFonts w:ascii="Tahoma" w:hAnsi="Tahoma" w:cs="Tahoma"/>
          <w:sz w:val="20"/>
          <w:szCs w:val="20"/>
        </w:rPr>
      </w:pPr>
    </w:p>
    <w:p w:rsidR="005560D0" w:rsidRPr="005560D0" w:rsidRDefault="005560D0" w:rsidP="000C1A23">
      <w:pPr>
        <w:jc w:val="both"/>
        <w:rPr>
          <w:rFonts w:ascii="Tahoma" w:hAnsi="Tahoma" w:cs="Tahoma"/>
          <w:b/>
          <w:sz w:val="20"/>
          <w:szCs w:val="20"/>
        </w:rPr>
      </w:pPr>
      <w:r w:rsidRPr="005560D0">
        <w:rPr>
          <w:rFonts w:ascii="Tahoma" w:hAnsi="Tahoma" w:cs="Tahoma"/>
          <w:b/>
          <w:sz w:val="20"/>
          <w:szCs w:val="20"/>
        </w:rPr>
        <w:t>OBRAZLOŽITEV</w:t>
      </w:r>
    </w:p>
    <w:p w:rsidR="005560D0" w:rsidRDefault="005560D0" w:rsidP="000C1A23">
      <w:pPr>
        <w:jc w:val="both"/>
        <w:rPr>
          <w:rFonts w:ascii="Tahoma" w:hAnsi="Tahoma" w:cs="Tahoma"/>
          <w:sz w:val="20"/>
          <w:szCs w:val="20"/>
        </w:rPr>
      </w:pPr>
    </w:p>
    <w:p w:rsidR="006921C7" w:rsidRPr="006921C7" w:rsidRDefault="009D2CF1" w:rsidP="009D2CF1">
      <w:pPr>
        <w:jc w:val="both"/>
        <w:rPr>
          <w:rFonts w:ascii="Tahoma" w:hAnsi="Tahoma" w:cs="Tahoma"/>
          <w:sz w:val="20"/>
          <w:szCs w:val="20"/>
        </w:rPr>
      </w:pPr>
      <w:r w:rsidRPr="006921C7">
        <w:rPr>
          <w:rFonts w:ascii="Tahoma" w:hAnsi="Tahoma" w:cs="Tahoma"/>
          <w:sz w:val="20"/>
          <w:szCs w:val="20"/>
        </w:rPr>
        <w:t xml:space="preserve">V splošnih določbah odloka je najprej opredeljena vsebina odloka, javni interes v športu in način njegovega uresničevanja, nadalje so iz </w:t>
      </w:r>
      <w:proofErr w:type="spellStart"/>
      <w:r w:rsidRPr="006921C7">
        <w:rPr>
          <w:rFonts w:ascii="Tahoma" w:hAnsi="Tahoma" w:cs="Tahoma"/>
          <w:sz w:val="20"/>
          <w:szCs w:val="20"/>
        </w:rPr>
        <w:t>ZŠpo</w:t>
      </w:r>
      <w:proofErr w:type="spellEnd"/>
      <w:r w:rsidRPr="006921C7">
        <w:rPr>
          <w:rFonts w:ascii="Tahoma" w:hAnsi="Tahoma" w:cs="Tahoma"/>
          <w:sz w:val="20"/>
          <w:szCs w:val="20"/>
        </w:rPr>
        <w:t>-1 povzeti programi in področja LPŠ, naveden postopek izbire</w:t>
      </w:r>
      <w:r w:rsidR="006921C7" w:rsidRPr="006921C7">
        <w:rPr>
          <w:rFonts w:ascii="Tahoma" w:hAnsi="Tahoma" w:cs="Tahoma"/>
          <w:sz w:val="20"/>
          <w:szCs w:val="20"/>
        </w:rPr>
        <w:t xml:space="preserve"> in sofinanciranja LPŠ, določeno kako se vrednotijo posamezni programi in področja LPŠ, določeno kje so navedeni izvajalci LPŠ in pogoji za vključitev le-teh v LPŠ in prednost pri njihovi izbiri.</w:t>
      </w:r>
    </w:p>
    <w:p w:rsidR="006921C7" w:rsidRPr="006921C7" w:rsidRDefault="006921C7" w:rsidP="009D2CF1">
      <w:pPr>
        <w:jc w:val="both"/>
        <w:rPr>
          <w:rFonts w:ascii="Tahoma" w:hAnsi="Tahoma" w:cs="Tahoma"/>
          <w:sz w:val="20"/>
          <w:szCs w:val="20"/>
        </w:rPr>
      </w:pPr>
    </w:p>
    <w:p w:rsidR="006921C7" w:rsidRDefault="006921C7" w:rsidP="009D2CF1">
      <w:pPr>
        <w:jc w:val="both"/>
        <w:rPr>
          <w:rFonts w:ascii="Tahoma" w:hAnsi="Tahoma" w:cs="Tahoma"/>
          <w:sz w:val="20"/>
          <w:szCs w:val="20"/>
        </w:rPr>
      </w:pPr>
      <w:r w:rsidRPr="006921C7">
        <w:rPr>
          <w:rFonts w:ascii="Tahoma" w:hAnsi="Tahoma" w:cs="Tahoma"/>
          <w:sz w:val="20"/>
          <w:szCs w:val="20"/>
        </w:rPr>
        <w:t>V poglavju športni programi so navedeni elementi za vrednotenje športnih programov</w:t>
      </w:r>
      <w:r>
        <w:rPr>
          <w:rFonts w:ascii="Tahoma" w:hAnsi="Tahoma" w:cs="Tahoma"/>
          <w:sz w:val="20"/>
          <w:szCs w:val="20"/>
        </w:rPr>
        <w:t xml:space="preserve"> in navedene vrednosti (v točkah) za posamezne elemente vrednotenja, po posameznih športnih programih.</w:t>
      </w:r>
    </w:p>
    <w:p w:rsidR="00877065" w:rsidRDefault="006921C7" w:rsidP="009D2CF1">
      <w:pPr>
        <w:jc w:val="both"/>
        <w:rPr>
          <w:rFonts w:ascii="Tahoma" w:hAnsi="Tahoma" w:cs="Tahoma"/>
          <w:sz w:val="20"/>
          <w:szCs w:val="20"/>
        </w:rPr>
      </w:pPr>
      <w:r>
        <w:rPr>
          <w:rFonts w:ascii="Tahoma" w:hAnsi="Tahoma" w:cs="Tahoma"/>
          <w:sz w:val="20"/>
          <w:szCs w:val="20"/>
        </w:rPr>
        <w:t xml:space="preserve">Odlok nadalje opredeljuje še </w:t>
      </w:r>
      <w:r w:rsidR="00877065">
        <w:rPr>
          <w:rFonts w:ascii="Tahoma" w:hAnsi="Tahoma" w:cs="Tahoma"/>
          <w:sz w:val="20"/>
          <w:szCs w:val="20"/>
        </w:rPr>
        <w:t>ostala področja športa (poleg športnih programov) in sicer: investicije v športne objekte in površine za šport v naravi, razvojne naloge v športu, organiziranost v športu. Športne prireditve in promocija.</w:t>
      </w:r>
    </w:p>
    <w:p w:rsidR="00325F59" w:rsidRDefault="00325F59" w:rsidP="009D2CF1">
      <w:pPr>
        <w:jc w:val="both"/>
        <w:rPr>
          <w:rFonts w:ascii="Tahoma" w:hAnsi="Tahoma" w:cs="Tahoma"/>
          <w:sz w:val="20"/>
          <w:szCs w:val="20"/>
        </w:rPr>
      </w:pPr>
    </w:p>
    <w:p w:rsidR="00877065" w:rsidRDefault="00B123AA" w:rsidP="009D2CF1">
      <w:pPr>
        <w:jc w:val="both"/>
        <w:rPr>
          <w:rFonts w:ascii="Tahoma" w:hAnsi="Tahoma" w:cs="Tahoma"/>
          <w:sz w:val="20"/>
          <w:szCs w:val="20"/>
        </w:rPr>
      </w:pPr>
      <w:r>
        <w:rPr>
          <w:rFonts w:ascii="Tahoma" w:hAnsi="Tahoma" w:cs="Tahoma"/>
          <w:sz w:val="20"/>
          <w:szCs w:val="20"/>
        </w:rPr>
        <w:lastRenderedPageBreak/>
        <w:t>O</w:t>
      </w:r>
      <w:r w:rsidR="00877065">
        <w:rPr>
          <w:rFonts w:ascii="Tahoma" w:hAnsi="Tahoma" w:cs="Tahoma"/>
          <w:sz w:val="20"/>
          <w:szCs w:val="20"/>
        </w:rPr>
        <w:t>dlok predpisuje še vsebino pogodb o sofinanciranju ter način izvajanja nadzora nad izvajanjem LPŠ.</w:t>
      </w:r>
    </w:p>
    <w:p w:rsidR="009D2CF1" w:rsidRPr="006921C7" w:rsidRDefault="00877065" w:rsidP="00877065">
      <w:pPr>
        <w:jc w:val="both"/>
        <w:rPr>
          <w:rFonts w:ascii="Tahoma" w:hAnsi="Tahoma" w:cs="Tahoma"/>
          <w:sz w:val="20"/>
          <w:szCs w:val="20"/>
        </w:rPr>
      </w:pPr>
      <w:r>
        <w:rPr>
          <w:rFonts w:ascii="Tahoma" w:hAnsi="Tahoma" w:cs="Tahoma"/>
          <w:sz w:val="20"/>
          <w:szCs w:val="20"/>
        </w:rPr>
        <w:t>S prehodno in končno določbo se razveljavlja Pravilnik o vrednotenju letnega programa športa v občini Žirovnica, ter določa</w:t>
      </w:r>
      <w:r w:rsidR="00B123AA">
        <w:rPr>
          <w:rFonts w:ascii="Tahoma" w:hAnsi="Tahoma" w:cs="Tahoma"/>
          <w:sz w:val="20"/>
          <w:szCs w:val="20"/>
        </w:rPr>
        <w:t xml:space="preserve"> objava in</w:t>
      </w:r>
      <w:r>
        <w:rPr>
          <w:rFonts w:ascii="Tahoma" w:hAnsi="Tahoma" w:cs="Tahoma"/>
          <w:sz w:val="20"/>
          <w:szCs w:val="20"/>
        </w:rPr>
        <w:t xml:space="preserve"> zač</w:t>
      </w:r>
      <w:r w:rsidR="00B123AA">
        <w:rPr>
          <w:rFonts w:ascii="Tahoma" w:hAnsi="Tahoma" w:cs="Tahoma"/>
          <w:sz w:val="20"/>
          <w:szCs w:val="20"/>
        </w:rPr>
        <w:t>etek</w:t>
      </w:r>
      <w:r>
        <w:rPr>
          <w:rFonts w:ascii="Tahoma" w:hAnsi="Tahoma" w:cs="Tahoma"/>
          <w:sz w:val="20"/>
          <w:szCs w:val="20"/>
        </w:rPr>
        <w:t xml:space="preserve"> velja</w:t>
      </w:r>
      <w:r w:rsidR="00B123AA">
        <w:rPr>
          <w:rFonts w:ascii="Tahoma" w:hAnsi="Tahoma" w:cs="Tahoma"/>
          <w:sz w:val="20"/>
          <w:szCs w:val="20"/>
        </w:rPr>
        <w:t>vnost odloka.</w:t>
      </w:r>
    </w:p>
    <w:p w:rsidR="009D2CF1" w:rsidRPr="006921C7" w:rsidRDefault="009D2CF1" w:rsidP="009D2CF1">
      <w:pPr>
        <w:jc w:val="both"/>
        <w:rPr>
          <w:rFonts w:ascii="Tahoma" w:hAnsi="Tahoma" w:cs="Tahoma"/>
          <w:sz w:val="20"/>
          <w:szCs w:val="20"/>
        </w:rPr>
      </w:pPr>
    </w:p>
    <w:p w:rsidR="009D2CF1" w:rsidRPr="00877065" w:rsidRDefault="009D2CF1" w:rsidP="00877065">
      <w:pPr>
        <w:jc w:val="both"/>
        <w:rPr>
          <w:rFonts w:ascii="Tahoma" w:hAnsi="Tahoma" w:cs="Tahoma"/>
          <w:b/>
          <w:sz w:val="20"/>
          <w:szCs w:val="20"/>
        </w:rPr>
      </w:pPr>
      <w:r w:rsidRPr="00877065">
        <w:rPr>
          <w:rFonts w:ascii="Tahoma" w:hAnsi="Tahoma" w:cs="Tahoma"/>
          <w:b/>
          <w:sz w:val="20"/>
          <w:szCs w:val="20"/>
        </w:rPr>
        <w:t>OCENA FINANČNIH POSLEDIC</w:t>
      </w:r>
    </w:p>
    <w:p w:rsidR="009D2CF1" w:rsidRPr="00877065" w:rsidRDefault="009D2CF1" w:rsidP="00877065">
      <w:pPr>
        <w:jc w:val="both"/>
        <w:rPr>
          <w:rFonts w:ascii="Tahoma" w:hAnsi="Tahoma" w:cs="Tahoma"/>
          <w:sz w:val="20"/>
          <w:szCs w:val="20"/>
        </w:rPr>
      </w:pPr>
    </w:p>
    <w:p w:rsidR="009D2CF1" w:rsidRPr="00877065" w:rsidRDefault="009D2CF1" w:rsidP="009D2CF1">
      <w:pPr>
        <w:overflowPunct w:val="0"/>
        <w:autoSpaceDE w:val="0"/>
        <w:autoSpaceDN w:val="0"/>
        <w:adjustRightInd w:val="0"/>
        <w:jc w:val="both"/>
        <w:textAlignment w:val="baseline"/>
        <w:rPr>
          <w:rFonts w:ascii="Tahoma" w:hAnsi="Tahoma" w:cs="Tahoma"/>
          <w:sz w:val="20"/>
          <w:szCs w:val="20"/>
        </w:rPr>
      </w:pPr>
      <w:r w:rsidRPr="00877065">
        <w:rPr>
          <w:rFonts w:ascii="Tahoma" w:hAnsi="Tahoma" w:cs="Tahoma"/>
          <w:sz w:val="20"/>
          <w:szCs w:val="20"/>
        </w:rPr>
        <w:t xml:space="preserve">Sprejem </w:t>
      </w:r>
      <w:r w:rsidR="00877065">
        <w:rPr>
          <w:rFonts w:ascii="Tahoma" w:hAnsi="Tahoma" w:cs="Tahoma"/>
          <w:sz w:val="20"/>
          <w:szCs w:val="20"/>
        </w:rPr>
        <w:t>o</w:t>
      </w:r>
      <w:r w:rsidRPr="00877065">
        <w:rPr>
          <w:rFonts w:ascii="Tahoma" w:hAnsi="Tahoma" w:cs="Tahoma"/>
          <w:sz w:val="20"/>
          <w:szCs w:val="20"/>
        </w:rPr>
        <w:t xml:space="preserve">dloka </w:t>
      </w:r>
      <w:r w:rsidR="00877065">
        <w:rPr>
          <w:rFonts w:ascii="Tahoma" w:hAnsi="Tahoma" w:cs="Tahoma"/>
          <w:sz w:val="20"/>
          <w:szCs w:val="20"/>
        </w:rPr>
        <w:t xml:space="preserve">nima finančnih posledic za občinski proračun, saj je višina proračunskih sredstev </w:t>
      </w:r>
      <w:r w:rsidRPr="00877065">
        <w:rPr>
          <w:rFonts w:ascii="Tahoma" w:hAnsi="Tahoma" w:cs="Tahoma"/>
          <w:sz w:val="20"/>
          <w:szCs w:val="20"/>
        </w:rPr>
        <w:t>za</w:t>
      </w:r>
      <w:r w:rsidR="00877065">
        <w:rPr>
          <w:rFonts w:ascii="Tahoma" w:hAnsi="Tahoma" w:cs="Tahoma"/>
          <w:sz w:val="20"/>
          <w:szCs w:val="20"/>
        </w:rPr>
        <w:t xml:space="preserve"> sofinanciranje LPŠ že opredeljena v vsakoletnem proračunu in vsakoletnem letnem programu športa, ki je njegova priloga.</w:t>
      </w:r>
    </w:p>
    <w:p w:rsidR="005560D0" w:rsidRDefault="005560D0" w:rsidP="000C1A23">
      <w:pPr>
        <w:jc w:val="both"/>
        <w:rPr>
          <w:rFonts w:ascii="Tahoma" w:hAnsi="Tahoma" w:cs="Tahoma"/>
          <w:sz w:val="20"/>
          <w:szCs w:val="20"/>
        </w:rPr>
      </w:pPr>
    </w:p>
    <w:p w:rsidR="0063207B" w:rsidRDefault="0063207B" w:rsidP="000C1A23">
      <w:pPr>
        <w:jc w:val="both"/>
        <w:rPr>
          <w:rFonts w:ascii="Tahoma" w:hAnsi="Tahoma" w:cs="Tahoma"/>
          <w:sz w:val="20"/>
          <w:szCs w:val="20"/>
        </w:rPr>
      </w:pPr>
    </w:p>
    <w:p w:rsidR="000C1A23" w:rsidRPr="00393981" w:rsidRDefault="000C1A23" w:rsidP="000C1A23">
      <w:pPr>
        <w:jc w:val="both"/>
        <w:rPr>
          <w:rFonts w:ascii="Tahoma" w:hAnsi="Tahoma" w:cs="Tahoma"/>
          <w:sz w:val="20"/>
          <w:szCs w:val="20"/>
        </w:rPr>
      </w:pPr>
      <w:r w:rsidRPr="00393981">
        <w:rPr>
          <w:rFonts w:ascii="Tahoma" w:hAnsi="Tahoma" w:cs="Tahoma"/>
          <w:sz w:val="20"/>
          <w:szCs w:val="20"/>
        </w:rPr>
        <w:t xml:space="preserve">Na podlagi 44. člena statuta Občine Žirovnica </w:t>
      </w:r>
      <w:r w:rsidR="005560D0" w:rsidRPr="005560D0">
        <w:rPr>
          <w:rFonts w:ascii="Tahoma" w:hAnsi="Tahoma"/>
          <w:sz w:val="20"/>
          <w:szCs w:val="20"/>
        </w:rPr>
        <w:t xml:space="preserve">(Ur. list RS, št. </w:t>
      </w:r>
      <w:r w:rsidR="002E36E7">
        <w:rPr>
          <w:rFonts w:ascii="Tahoma" w:hAnsi="Tahoma"/>
          <w:sz w:val="20"/>
          <w:szCs w:val="20"/>
        </w:rPr>
        <w:t>66/18-UPB2)</w:t>
      </w:r>
      <w:r w:rsidRPr="00393981">
        <w:rPr>
          <w:rFonts w:ascii="Tahoma" w:hAnsi="Tahoma"/>
          <w:sz w:val="20"/>
          <w:szCs w:val="20"/>
        </w:rPr>
        <w:t xml:space="preserve"> </w:t>
      </w:r>
      <w:r w:rsidRPr="00393981">
        <w:rPr>
          <w:rFonts w:ascii="Tahoma" w:hAnsi="Tahoma" w:cs="Tahoma"/>
          <w:sz w:val="20"/>
          <w:szCs w:val="20"/>
        </w:rPr>
        <w:t xml:space="preserve">in 69. člena Poslovnika občinskega sveta </w:t>
      </w:r>
      <w:r w:rsidR="005560D0" w:rsidRPr="005560D0">
        <w:rPr>
          <w:rFonts w:ascii="Tahoma" w:hAnsi="Tahoma"/>
          <w:sz w:val="20"/>
          <w:szCs w:val="20"/>
        </w:rPr>
        <w:t>(Ur. list RS št. 23/99, 19/13-UPB1</w:t>
      </w:r>
      <w:r w:rsidR="004C75DE">
        <w:rPr>
          <w:rFonts w:ascii="Tahoma" w:hAnsi="Tahoma"/>
          <w:sz w:val="20"/>
          <w:szCs w:val="20"/>
        </w:rPr>
        <w:t>,</w:t>
      </w:r>
      <w:r w:rsidR="005560D0" w:rsidRPr="005560D0">
        <w:rPr>
          <w:rFonts w:ascii="Tahoma" w:hAnsi="Tahoma"/>
          <w:sz w:val="20"/>
          <w:szCs w:val="20"/>
        </w:rPr>
        <w:t xml:space="preserve"> 50/14</w:t>
      </w:r>
      <w:r w:rsidR="004C75DE">
        <w:rPr>
          <w:rFonts w:ascii="Tahoma" w:hAnsi="Tahoma"/>
          <w:sz w:val="20"/>
          <w:szCs w:val="20"/>
        </w:rPr>
        <w:t xml:space="preserve"> in 66/18</w:t>
      </w:r>
      <w:r w:rsidR="005560D0" w:rsidRPr="005560D0">
        <w:rPr>
          <w:rFonts w:ascii="Tahoma" w:hAnsi="Tahoma"/>
          <w:sz w:val="20"/>
          <w:szCs w:val="20"/>
        </w:rPr>
        <w:t>)</w:t>
      </w:r>
      <w:r w:rsidR="005560D0">
        <w:rPr>
          <w:rFonts w:ascii="Tahoma" w:hAnsi="Tahoma"/>
          <w:sz w:val="20"/>
          <w:szCs w:val="20"/>
        </w:rPr>
        <w:t xml:space="preserve"> </w:t>
      </w:r>
      <w:r w:rsidRPr="00393981">
        <w:rPr>
          <w:rFonts w:ascii="Tahoma" w:hAnsi="Tahoma" w:cs="Tahoma"/>
          <w:sz w:val="20"/>
          <w:szCs w:val="20"/>
        </w:rPr>
        <w:t xml:space="preserve">Občinskemu svetu Občine Žirovnica posredujem v obravnavo predlog </w:t>
      </w:r>
      <w:r w:rsidR="005560D0">
        <w:rPr>
          <w:rFonts w:ascii="Tahoma" w:hAnsi="Tahoma" w:cs="Tahoma"/>
          <w:sz w:val="20"/>
          <w:szCs w:val="20"/>
        </w:rPr>
        <w:t xml:space="preserve">Odloka o sofinanciranju letnega programa športa </w:t>
      </w:r>
      <w:r w:rsidR="00AF3114">
        <w:rPr>
          <w:rFonts w:ascii="Tahoma" w:hAnsi="Tahoma" w:cs="Tahoma"/>
          <w:sz w:val="20"/>
          <w:szCs w:val="20"/>
        </w:rPr>
        <w:t>v občini Žirovnica</w:t>
      </w:r>
      <w:r w:rsidR="00F97A60">
        <w:rPr>
          <w:rFonts w:ascii="Tahoma" w:hAnsi="Tahoma" w:cs="Tahoma"/>
          <w:sz w:val="20"/>
          <w:szCs w:val="20"/>
        </w:rPr>
        <w:t xml:space="preserve"> </w:t>
      </w:r>
      <w:r w:rsidRPr="00393981">
        <w:rPr>
          <w:rFonts w:ascii="Tahoma" w:hAnsi="Tahoma" w:cs="Tahoma"/>
          <w:sz w:val="20"/>
          <w:szCs w:val="20"/>
        </w:rPr>
        <w:t>s predlogom, da sprejme naslednji</w:t>
      </w:r>
    </w:p>
    <w:p w:rsidR="000C1A23" w:rsidRDefault="000C1A23" w:rsidP="000C1A23">
      <w:pPr>
        <w:jc w:val="both"/>
        <w:rPr>
          <w:rFonts w:ascii="Tahoma" w:hAnsi="Tahoma" w:cs="Tahoma"/>
          <w:sz w:val="20"/>
          <w:szCs w:val="20"/>
        </w:rPr>
      </w:pPr>
    </w:p>
    <w:p w:rsidR="00E738E5" w:rsidRDefault="00E738E5" w:rsidP="000C1A23">
      <w:pPr>
        <w:jc w:val="both"/>
        <w:rPr>
          <w:rFonts w:ascii="Tahoma" w:hAnsi="Tahoma" w:cs="Tahoma"/>
          <w:sz w:val="20"/>
          <w:szCs w:val="20"/>
        </w:rPr>
      </w:pPr>
    </w:p>
    <w:p w:rsidR="000C1A23" w:rsidRPr="007E65ED" w:rsidRDefault="000C1A23" w:rsidP="000C1A23">
      <w:pPr>
        <w:jc w:val="both"/>
        <w:rPr>
          <w:rFonts w:ascii="Tahoma" w:hAnsi="Tahoma" w:cs="Tahoma"/>
          <w:b/>
          <w:sz w:val="20"/>
          <w:szCs w:val="20"/>
        </w:rPr>
      </w:pPr>
      <w:r w:rsidRPr="007E65ED">
        <w:rPr>
          <w:rFonts w:ascii="Tahoma" w:hAnsi="Tahoma" w:cs="Tahoma"/>
          <w:b/>
          <w:sz w:val="20"/>
          <w:szCs w:val="20"/>
        </w:rPr>
        <w:t>SKLEP:</w:t>
      </w:r>
    </w:p>
    <w:p w:rsidR="00E738E5" w:rsidRDefault="00E738E5" w:rsidP="000C1A23">
      <w:pPr>
        <w:jc w:val="both"/>
        <w:rPr>
          <w:rFonts w:ascii="Tahoma" w:hAnsi="Tahoma" w:cs="Tahoma"/>
          <w:b/>
          <w:sz w:val="20"/>
          <w:szCs w:val="20"/>
        </w:rPr>
      </w:pPr>
    </w:p>
    <w:p w:rsidR="000C1A23" w:rsidRPr="00AF3114" w:rsidRDefault="000C1A23" w:rsidP="000C1A23">
      <w:pPr>
        <w:jc w:val="both"/>
        <w:rPr>
          <w:rFonts w:ascii="Tahoma" w:hAnsi="Tahoma" w:cs="Tahoma"/>
          <w:b/>
          <w:sz w:val="20"/>
          <w:szCs w:val="20"/>
        </w:rPr>
      </w:pPr>
      <w:r w:rsidRPr="00AF3114">
        <w:rPr>
          <w:rFonts w:ascii="Tahoma" w:hAnsi="Tahoma" w:cs="Tahoma"/>
          <w:b/>
          <w:sz w:val="20"/>
          <w:szCs w:val="20"/>
        </w:rPr>
        <w:t xml:space="preserve">Sprejme se </w:t>
      </w:r>
      <w:r w:rsidR="005560D0">
        <w:rPr>
          <w:rFonts w:ascii="Tahoma" w:hAnsi="Tahoma" w:cs="Tahoma"/>
          <w:b/>
          <w:sz w:val="20"/>
          <w:szCs w:val="20"/>
        </w:rPr>
        <w:t xml:space="preserve">Odlok o sofinanciranju letnega </w:t>
      </w:r>
      <w:r w:rsidR="00AF3114" w:rsidRPr="00AF3114">
        <w:rPr>
          <w:rFonts w:ascii="Tahoma" w:hAnsi="Tahoma" w:cs="Tahoma"/>
          <w:b/>
          <w:sz w:val="20"/>
          <w:szCs w:val="20"/>
        </w:rPr>
        <w:t xml:space="preserve">programa športa v </w:t>
      </w:r>
      <w:r w:rsidR="00325EFF">
        <w:rPr>
          <w:rFonts w:ascii="Tahoma" w:hAnsi="Tahoma" w:cs="Tahoma"/>
          <w:b/>
          <w:sz w:val="20"/>
          <w:szCs w:val="20"/>
        </w:rPr>
        <w:t>O</w:t>
      </w:r>
      <w:r w:rsidR="00AF3114" w:rsidRPr="00AF3114">
        <w:rPr>
          <w:rFonts w:ascii="Tahoma" w:hAnsi="Tahoma" w:cs="Tahoma"/>
          <w:b/>
          <w:sz w:val="20"/>
          <w:szCs w:val="20"/>
        </w:rPr>
        <w:t>bčini Žirovnica</w:t>
      </w:r>
      <w:r w:rsidR="00AF3EE7">
        <w:rPr>
          <w:rFonts w:ascii="Tahoma" w:hAnsi="Tahoma" w:cs="Tahoma"/>
          <w:b/>
          <w:sz w:val="20"/>
          <w:szCs w:val="20"/>
        </w:rPr>
        <w:t>.</w:t>
      </w:r>
    </w:p>
    <w:p w:rsidR="000C1A23" w:rsidRDefault="000C1A23" w:rsidP="000C1A23">
      <w:pPr>
        <w:jc w:val="both"/>
        <w:rPr>
          <w:rFonts w:ascii="Tahoma" w:hAnsi="Tahoma" w:cs="Tahoma"/>
          <w:sz w:val="20"/>
          <w:szCs w:val="20"/>
        </w:rPr>
      </w:pPr>
    </w:p>
    <w:p w:rsidR="00E738E5" w:rsidRDefault="00E738E5" w:rsidP="000C1A23">
      <w:pPr>
        <w:jc w:val="both"/>
        <w:rPr>
          <w:rFonts w:ascii="Tahoma" w:hAnsi="Tahoma" w:cs="Tahoma"/>
          <w:sz w:val="20"/>
          <w:szCs w:val="20"/>
        </w:rPr>
      </w:pPr>
    </w:p>
    <w:p w:rsidR="00CD59E5" w:rsidRDefault="00CD59E5" w:rsidP="000C1A23">
      <w:pPr>
        <w:jc w:val="both"/>
        <w:rPr>
          <w:rFonts w:ascii="Tahoma" w:hAnsi="Tahoma" w:cs="Tahoma"/>
          <w:sz w:val="20"/>
          <w:szCs w:val="20"/>
        </w:rPr>
      </w:pPr>
    </w:p>
    <w:p w:rsidR="000C1A23" w:rsidRDefault="000C1A23" w:rsidP="000C1A23">
      <w:pPr>
        <w:jc w:val="both"/>
        <w:rPr>
          <w:rFonts w:ascii="Tahoma" w:hAnsi="Tahoma" w:cs="Tahoma"/>
          <w:sz w:val="20"/>
          <w:szCs w:val="20"/>
        </w:rPr>
      </w:pPr>
      <w:r>
        <w:rPr>
          <w:rFonts w:ascii="Tahoma" w:hAnsi="Tahoma" w:cs="Tahoma"/>
          <w:sz w:val="20"/>
          <w:szCs w:val="20"/>
        </w:rPr>
        <w:t xml:space="preserve">Datum: </w:t>
      </w:r>
      <w:r w:rsidR="006C574E">
        <w:rPr>
          <w:rFonts w:ascii="Tahoma" w:hAnsi="Tahoma" w:cs="Tahoma"/>
          <w:sz w:val="20"/>
          <w:szCs w:val="20"/>
        </w:rPr>
        <w:t>5</w:t>
      </w:r>
      <w:r w:rsidR="00AF3EE7">
        <w:rPr>
          <w:rFonts w:ascii="Tahoma" w:hAnsi="Tahoma" w:cs="Tahoma"/>
          <w:sz w:val="20"/>
          <w:szCs w:val="20"/>
        </w:rPr>
        <w:t>.2.2019</w:t>
      </w:r>
    </w:p>
    <w:p w:rsidR="000C1A23" w:rsidRDefault="000C1A23" w:rsidP="000C1A23">
      <w:pPr>
        <w:jc w:val="both"/>
        <w:rPr>
          <w:rFonts w:ascii="Tahoma" w:hAnsi="Tahoma" w:cs="Tahoma"/>
          <w:sz w:val="20"/>
          <w:szCs w:val="20"/>
        </w:rPr>
      </w:pPr>
      <w:r>
        <w:rPr>
          <w:rFonts w:ascii="Tahoma" w:hAnsi="Tahoma" w:cs="Tahoma"/>
          <w:sz w:val="20"/>
          <w:szCs w:val="20"/>
        </w:rPr>
        <w:t xml:space="preserve">Številka: </w:t>
      </w:r>
      <w:r w:rsidR="005560D0">
        <w:rPr>
          <w:rFonts w:ascii="Tahoma" w:hAnsi="Tahoma" w:cs="Tahoma"/>
          <w:sz w:val="20"/>
          <w:szCs w:val="20"/>
        </w:rPr>
        <w:t>0</w:t>
      </w:r>
      <w:r w:rsidR="000B3D5D">
        <w:rPr>
          <w:rFonts w:ascii="Tahoma" w:hAnsi="Tahoma" w:cs="Tahoma"/>
          <w:sz w:val="20"/>
          <w:szCs w:val="20"/>
        </w:rPr>
        <w:t>0</w:t>
      </w:r>
      <w:r w:rsidR="005560D0">
        <w:rPr>
          <w:rFonts w:ascii="Tahoma" w:hAnsi="Tahoma" w:cs="Tahoma"/>
          <w:sz w:val="20"/>
          <w:szCs w:val="20"/>
        </w:rPr>
        <w:t>07-0005/2018</w:t>
      </w:r>
      <w:bookmarkStart w:id="0" w:name="_GoBack"/>
      <w:bookmarkEnd w:id="0"/>
    </w:p>
    <w:p w:rsidR="000C1A23" w:rsidRPr="007E65ED" w:rsidRDefault="000C1A23" w:rsidP="000C1A23">
      <w:pPr>
        <w:jc w:val="right"/>
        <w:rPr>
          <w:rFonts w:ascii="Tahoma" w:hAnsi="Tahoma" w:cs="Tahoma"/>
          <w:b/>
          <w:sz w:val="20"/>
          <w:szCs w:val="20"/>
        </w:rPr>
      </w:pPr>
      <w:r>
        <w:rPr>
          <w:rFonts w:ascii="Tahoma" w:hAnsi="Tahoma" w:cs="Tahoma"/>
          <w:b/>
          <w:sz w:val="20"/>
          <w:szCs w:val="20"/>
        </w:rPr>
        <w:t>Leopold Pogačar</w:t>
      </w:r>
    </w:p>
    <w:p w:rsidR="000C1A23" w:rsidRPr="007E65ED" w:rsidRDefault="000C1A23" w:rsidP="000C1A23">
      <w:pPr>
        <w:ind w:right="612"/>
        <w:jc w:val="right"/>
        <w:rPr>
          <w:rFonts w:ascii="Tahoma" w:hAnsi="Tahoma" w:cs="Tahoma"/>
          <w:b/>
          <w:sz w:val="20"/>
          <w:szCs w:val="20"/>
        </w:rPr>
      </w:pPr>
      <w:r w:rsidRPr="007E65ED">
        <w:rPr>
          <w:rFonts w:ascii="Tahoma" w:hAnsi="Tahoma" w:cs="Tahoma"/>
          <w:b/>
          <w:sz w:val="20"/>
          <w:szCs w:val="20"/>
        </w:rPr>
        <w:t>ŽUPAN</w:t>
      </w:r>
    </w:p>
    <w:p w:rsidR="00E738E5" w:rsidRDefault="00E738E5" w:rsidP="000C1A23">
      <w:pPr>
        <w:jc w:val="both"/>
        <w:rPr>
          <w:rFonts w:ascii="Tahoma" w:hAnsi="Tahoma" w:cs="Tahoma"/>
          <w:sz w:val="20"/>
          <w:szCs w:val="20"/>
        </w:rPr>
      </w:pPr>
    </w:p>
    <w:p w:rsidR="00325F59" w:rsidRDefault="00325F59" w:rsidP="000C1A23">
      <w:pPr>
        <w:jc w:val="both"/>
        <w:rPr>
          <w:rFonts w:ascii="Tahoma" w:hAnsi="Tahoma" w:cs="Tahoma"/>
          <w:sz w:val="20"/>
          <w:szCs w:val="20"/>
        </w:rPr>
      </w:pPr>
    </w:p>
    <w:p w:rsidR="000C1A23" w:rsidRDefault="000C1A23" w:rsidP="000C1A23">
      <w:pPr>
        <w:jc w:val="both"/>
        <w:rPr>
          <w:rFonts w:ascii="Tahoma" w:hAnsi="Tahoma" w:cs="Tahoma"/>
          <w:sz w:val="20"/>
          <w:szCs w:val="20"/>
        </w:rPr>
      </w:pPr>
      <w:r>
        <w:rPr>
          <w:rFonts w:ascii="Tahoma" w:hAnsi="Tahoma" w:cs="Tahoma"/>
          <w:sz w:val="20"/>
          <w:szCs w:val="20"/>
        </w:rPr>
        <w:t>Pripravila:</w:t>
      </w:r>
    </w:p>
    <w:p w:rsidR="000C1A23" w:rsidRDefault="000C1A23" w:rsidP="000C1A23">
      <w:pPr>
        <w:jc w:val="both"/>
        <w:rPr>
          <w:rFonts w:ascii="Tahoma" w:hAnsi="Tahoma" w:cs="Tahoma"/>
          <w:sz w:val="20"/>
          <w:szCs w:val="20"/>
        </w:rPr>
      </w:pPr>
      <w:smartTag w:uri="urn:schemas-microsoft-com:office:smarttags" w:element="PersonName">
        <w:smartTagPr>
          <w:attr w:name="ProductID" w:val="Petra Žvan"/>
        </w:smartTagPr>
        <w:r>
          <w:rPr>
            <w:rFonts w:ascii="Tahoma" w:hAnsi="Tahoma" w:cs="Tahoma"/>
            <w:sz w:val="20"/>
            <w:szCs w:val="20"/>
          </w:rPr>
          <w:t>Petra Žvan</w:t>
        </w:r>
      </w:smartTag>
      <w:r>
        <w:rPr>
          <w:rFonts w:ascii="Tahoma" w:hAnsi="Tahoma" w:cs="Tahoma"/>
          <w:sz w:val="20"/>
          <w:szCs w:val="20"/>
        </w:rPr>
        <w:t>, univ.dipl.ekon.</w:t>
      </w:r>
    </w:p>
    <w:p w:rsidR="006C2C8B" w:rsidRDefault="006C2C8B" w:rsidP="00FD2EB0">
      <w:pPr>
        <w:jc w:val="both"/>
        <w:rPr>
          <w:rFonts w:ascii="Tahoma" w:hAnsi="Tahoma" w:cs="Tahoma"/>
          <w:sz w:val="20"/>
          <w:szCs w:val="20"/>
        </w:rPr>
      </w:pPr>
    </w:p>
    <w:p w:rsidR="00E738E5" w:rsidRDefault="00E738E5" w:rsidP="00FD2EB0">
      <w:pPr>
        <w:jc w:val="both"/>
        <w:rPr>
          <w:rFonts w:ascii="Tahoma" w:hAnsi="Tahoma" w:cs="Tahoma"/>
          <w:sz w:val="20"/>
          <w:szCs w:val="20"/>
        </w:rPr>
      </w:pPr>
    </w:p>
    <w:sectPr w:rsidR="00E738E5" w:rsidSect="002E36E7">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C5" w:rsidRDefault="00D313C5">
      <w:r>
        <w:separator/>
      </w:r>
    </w:p>
  </w:endnote>
  <w:endnote w:type="continuationSeparator" w:id="0">
    <w:p w:rsidR="00D313C5" w:rsidRDefault="00D3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28310"/>
      <w:docPartObj>
        <w:docPartGallery w:val="Page Numbers (Bottom of Page)"/>
        <w:docPartUnique/>
      </w:docPartObj>
    </w:sdtPr>
    <w:sdtEndPr/>
    <w:sdtContent>
      <w:p w:rsidR="003C103E" w:rsidRDefault="003C103E">
        <w:pPr>
          <w:pStyle w:val="Noga"/>
          <w:jc w:val="right"/>
        </w:pPr>
        <w:r w:rsidRPr="002E36E7">
          <w:rPr>
            <w:rFonts w:ascii="Tahoma" w:hAnsi="Tahoma" w:cs="Tahoma"/>
            <w:sz w:val="18"/>
            <w:szCs w:val="18"/>
          </w:rPr>
          <w:fldChar w:fldCharType="begin"/>
        </w:r>
        <w:r w:rsidRPr="002E36E7">
          <w:rPr>
            <w:rFonts w:ascii="Tahoma" w:hAnsi="Tahoma" w:cs="Tahoma"/>
            <w:sz w:val="18"/>
            <w:szCs w:val="18"/>
          </w:rPr>
          <w:instrText>PAGE   \* MERGEFORMAT</w:instrText>
        </w:r>
        <w:r w:rsidRPr="002E36E7">
          <w:rPr>
            <w:rFonts w:ascii="Tahoma" w:hAnsi="Tahoma" w:cs="Tahoma"/>
            <w:sz w:val="18"/>
            <w:szCs w:val="18"/>
          </w:rPr>
          <w:fldChar w:fldCharType="separate"/>
        </w:r>
        <w:r w:rsidR="00325EFF">
          <w:rPr>
            <w:rFonts w:ascii="Tahoma" w:hAnsi="Tahoma" w:cs="Tahoma"/>
            <w:noProof/>
            <w:sz w:val="18"/>
            <w:szCs w:val="18"/>
          </w:rPr>
          <w:t>20</w:t>
        </w:r>
        <w:r w:rsidRPr="002E36E7">
          <w:rPr>
            <w:rFonts w:ascii="Tahoma" w:hAnsi="Tahoma" w:cs="Tahoma"/>
            <w:sz w:val="18"/>
            <w:szCs w:val="18"/>
          </w:rPr>
          <w:fldChar w:fldCharType="end"/>
        </w:r>
      </w:p>
    </w:sdtContent>
  </w:sdt>
  <w:p w:rsidR="003C103E" w:rsidRDefault="003C103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C5" w:rsidRDefault="00D313C5">
      <w:r>
        <w:separator/>
      </w:r>
    </w:p>
  </w:footnote>
  <w:footnote w:type="continuationSeparator" w:id="0">
    <w:p w:rsidR="00D313C5" w:rsidRDefault="00D31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322A"/>
    <w:multiLevelType w:val="hybridMultilevel"/>
    <w:tmpl w:val="A280B2C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E840C3B"/>
    <w:multiLevelType w:val="hybridMultilevel"/>
    <w:tmpl w:val="1556027A"/>
    <w:lvl w:ilvl="0" w:tplc="51A0EE3E">
      <w:start w:val="1"/>
      <w:numFmt w:val="bullet"/>
      <w:pStyle w:val="Natevanje1"/>
      <w:lvlText w:val=""/>
      <w:lvlJc w:val="left"/>
      <w:pPr>
        <w:tabs>
          <w:tab w:val="num" w:pos="567"/>
        </w:tabs>
        <w:ind w:left="567" w:hanging="283"/>
      </w:pPr>
      <w:rPr>
        <w:rFonts w:ascii="Symbol" w:hAnsi="Symbol" w:hint="default"/>
        <w:sz w:val="16"/>
        <w:szCs w:val="16"/>
      </w:rPr>
    </w:lvl>
    <w:lvl w:ilvl="1" w:tplc="2F923CBE">
      <w:start w:val="1"/>
      <w:numFmt w:val="bullet"/>
      <w:pStyle w:val="Natevanje1"/>
      <w:lvlText w:val=""/>
      <w:lvlJc w:val="left"/>
      <w:pPr>
        <w:tabs>
          <w:tab w:val="num" w:pos="567"/>
        </w:tabs>
        <w:ind w:left="567" w:hanging="283"/>
      </w:pPr>
      <w:rPr>
        <w:rFonts w:ascii="Symbol" w:hAnsi="Symbol" w:hint="default"/>
        <w:sz w:val="16"/>
        <w:szCs w:val="16"/>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06F20FD"/>
    <w:multiLevelType w:val="hybridMultilevel"/>
    <w:tmpl w:val="650839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79723FE"/>
    <w:multiLevelType w:val="hybridMultilevel"/>
    <w:tmpl w:val="E228C0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A090CBC"/>
    <w:multiLevelType w:val="hybridMultilevel"/>
    <w:tmpl w:val="53D698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EB376DE"/>
    <w:multiLevelType w:val="hybridMultilevel"/>
    <w:tmpl w:val="6A5A5FAE"/>
    <w:lvl w:ilvl="0" w:tplc="E800FCA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FB34368"/>
    <w:multiLevelType w:val="multilevel"/>
    <w:tmpl w:val="2ECA6C92"/>
    <w:lvl w:ilvl="0">
      <w:start w:val="1"/>
      <w:numFmt w:val="decimal"/>
      <w:pStyle w:val="Naslov2"/>
      <w:lvlText w:val="%1."/>
      <w:lvlJc w:val="left"/>
      <w:pPr>
        <w:tabs>
          <w:tab w:val="num" w:pos="567"/>
        </w:tabs>
        <w:ind w:left="567" w:hanging="567"/>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1FC15A1A"/>
    <w:multiLevelType w:val="hybridMultilevel"/>
    <w:tmpl w:val="BEEE357C"/>
    <w:lvl w:ilvl="0" w:tplc="04240001">
      <w:start w:val="1"/>
      <w:numFmt w:val="bullet"/>
      <w:lvlText w:val=""/>
      <w:lvlJc w:val="left"/>
      <w:pPr>
        <w:tabs>
          <w:tab w:val="num" w:pos="720"/>
        </w:tabs>
        <w:ind w:left="720" w:hanging="360"/>
      </w:pPr>
      <w:rPr>
        <w:rFonts w:ascii="Symbol" w:hAnsi="Symbol" w:hint="default"/>
      </w:rPr>
    </w:lvl>
    <w:lvl w:ilvl="1" w:tplc="ABCE6AF4">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2F70ECA"/>
    <w:multiLevelType w:val="hybridMultilevel"/>
    <w:tmpl w:val="F9420804"/>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58061B0"/>
    <w:multiLevelType w:val="hybridMultilevel"/>
    <w:tmpl w:val="B7D88C28"/>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FA91624"/>
    <w:multiLevelType w:val="hybridMultilevel"/>
    <w:tmpl w:val="226287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33BC5E03"/>
    <w:multiLevelType w:val="hybridMultilevel"/>
    <w:tmpl w:val="E04420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5704B1E"/>
    <w:multiLevelType w:val="hybridMultilevel"/>
    <w:tmpl w:val="261E93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3A010231"/>
    <w:multiLevelType w:val="hybridMultilevel"/>
    <w:tmpl w:val="5D24C36C"/>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C1A03E2"/>
    <w:multiLevelType w:val="hybridMultilevel"/>
    <w:tmpl w:val="362814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C4A1038"/>
    <w:multiLevelType w:val="hybridMultilevel"/>
    <w:tmpl w:val="D8304DD2"/>
    <w:lvl w:ilvl="0" w:tplc="DA600D66">
      <w:start w:val="6"/>
      <w:numFmt w:val="bullet"/>
      <w:lvlText w:val="-"/>
      <w:lvlJc w:val="left"/>
      <w:pPr>
        <w:ind w:left="720" w:hanging="360"/>
      </w:pPr>
      <w:rPr>
        <w:rFonts w:ascii="Tahoma" w:eastAsiaTheme="minorHAnsi" w:hAnsi="Tahoma" w:cs="Tahoma" w:hint="default"/>
      </w:rPr>
    </w:lvl>
    <w:lvl w:ilvl="1" w:tplc="DA600D66">
      <w:start w:val="6"/>
      <w:numFmt w:val="bullet"/>
      <w:lvlText w:val="-"/>
      <w:lvlJc w:val="left"/>
      <w:pPr>
        <w:ind w:left="1440" w:hanging="360"/>
      </w:pPr>
      <w:rPr>
        <w:rFonts w:ascii="Tahoma" w:eastAsiaTheme="minorHAnsi"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F30463B"/>
    <w:multiLevelType w:val="hybridMultilevel"/>
    <w:tmpl w:val="29DEAD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2AA376F"/>
    <w:multiLevelType w:val="hybridMultilevel"/>
    <w:tmpl w:val="DD6E7CD6"/>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35D0945"/>
    <w:multiLevelType w:val="hybridMultilevel"/>
    <w:tmpl w:val="B64033DA"/>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5017B09"/>
    <w:multiLevelType w:val="hybridMultilevel"/>
    <w:tmpl w:val="A764386C"/>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7095FD0"/>
    <w:multiLevelType w:val="hybridMultilevel"/>
    <w:tmpl w:val="F5509E9A"/>
    <w:lvl w:ilvl="0" w:tplc="7A4895B6">
      <w:start w:val="2"/>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7DF02A8"/>
    <w:multiLevelType w:val="hybridMultilevel"/>
    <w:tmpl w:val="211A29D6"/>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8BC10D8"/>
    <w:multiLevelType w:val="multilevel"/>
    <w:tmpl w:val="6A5A5FAE"/>
    <w:lvl w:ilvl="0">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E40433E"/>
    <w:multiLevelType w:val="hybridMultilevel"/>
    <w:tmpl w:val="E7343650"/>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1E27F1C"/>
    <w:multiLevelType w:val="hybridMultilevel"/>
    <w:tmpl w:val="2CD69A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528F0A2C"/>
    <w:multiLevelType w:val="hybridMultilevel"/>
    <w:tmpl w:val="B7F8422C"/>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96D6453"/>
    <w:multiLevelType w:val="hybridMultilevel"/>
    <w:tmpl w:val="53904940"/>
    <w:lvl w:ilvl="0" w:tplc="C51AF29E">
      <w:start w:val="1"/>
      <w:numFmt w:val="bullet"/>
      <w:pStyle w:val="Natevanje"/>
      <w:lvlText w:val=""/>
      <w:lvlJc w:val="left"/>
      <w:pPr>
        <w:tabs>
          <w:tab w:val="num" w:pos="454"/>
        </w:tabs>
        <w:ind w:left="454" w:hanging="454"/>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99D357B"/>
    <w:multiLevelType w:val="hybridMultilevel"/>
    <w:tmpl w:val="D9DECC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F5924A2"/>
    <w:multiLevelType w:val="hybridMultilevel"/>
    <w:tmpl w:val="333E1BB2"/>
    <w:lvl w:ilvl="0" w:tplc="012E8A90">
      <w:numFmt w:val="bullet"/>
      <w:lvlText w:val="o"/>
      <w:lvlJc w:val="left"/>
      <w:pPr>
        <w:ind w:left="938" w:hanging="360"/>
      </w:pPr>
      <w:rPr>
        <w:rFonts w:ascii="Courier New" w:eastAsia="Courier New" w:hAnsi="Courier New" w:cs="Courier New" w:hint="default"/>
        <w:w w:val="100"/>
        <w:sz w:val="22"/>
        <w:szCs w:val="22"/>
      </w:rPr>
    </w:lvl>
    <w:lvl w:ilvl="1" w:tplc="186C4278">
      <w:numFmt w:val="bullet"/>
      <w:lvlText w:val="•"/>
      <w:lvlJc w:val="left"/>
      <w:pPr>
        <w:ind w:left="1822" w:hanging="360"/>
      </w:pPr>
      <w:rPr>
        <w:rFonts w:hint="default"/>
      </w:rPr>
    </w:lvl>
    <w:lvl w:ilvl="2" w:tplc="851E44F2">
      <w:numFmt w:val="bullet"/>
      <w:lvlText w:val="•"/>
      <w:lvlJc w:val="left"/>
      <w:pPr>
        <w:ind w:left="2704" w:hanging="360"/>
      </w:pPr>
      <w:rPr>
        <w:rFonts w:hint="default"/>
      </w:rPr>
    </w:lvl>
    <w:lvl w:ilvl="3" w:tplc="50E02C94">
      <w:numFmt w:val="bullet"/>
      <w:lvlText w:val="•"/>
      <w:lvlJc w:val="left"/>
      <w:pPr>
        <w:ind w:left="3586" w:hanging="360"/>
      </w:pPr>
      <w:rPr>
        <w:rFonts w:hint="default"/>
      </w:rPr>
    </w:lvl>
    <w:lvl w:ilvl="4" w:tplc="B0FAE1AC">
      <w:numFmt w:val="bullet"/>
      <w:lvlText w:val="•"/>
      <w:lvlJc w:val="left"/>
      <w:pPr>
        <w:ind w:left="4468" w:hanging="360"/>
      </w:pPr>
      <w:rPr>
        <w:rFonts w:hint="default"/>
      </w:rPr>
    </w:lvl>
    <w:lvl w:ilvl="5" w:tplc="1C009CCC">
      <w:numFmt w:val="bullet"/>
      <w:lvlText w:val="•"/>
      <w:lvlJc w:val="left"/>
      <w:pPr>
        <w:ind w:left="5350" w:hanging="360"/>
      </w:pPr>
      <w:rPr>
        <w:rFonts w:hint="default"/>
      </w:rPr>
    </w:lvl>
    <w:lvl w:ilvl="6" w:tplc="CEB6991C">
      <w:numFmt w:val="bullet"/>
      <w:lvlText w:val="•"/>
      <w:lvlJc w:val="left"/>
      <w:pPr>
        <w:ind w:left="6232" w:hanging="360"/>
      </w:pPr>
      <w:rPr>
        <w:rFonts w:hint="default"/>
      </w:rPr>
    </w:lvl>
    <w:lvl w:ilvl="7" w:tplc="6D887602">
      <w:numFmt w:val="bullet"/>
      <w:lvlText w:val="•"/>
      <w:lvlJc w:val="left"/>
      <w:pPr>
        <w:ind w:left="7114" w:hanging="360"/>
      </w:pPr>
      <w:rPr>
        <w:rFonts w:hint="default"/>
      </w:rPr>
    </w:lvl>
    <w:lvl w:ilvl="8" w:tplc="C83648CA">
      <w:numFmt w:val="bullet"/>
      <w:lvlText w:val="•"/>
      <w:lvlJc w:val="left"/>
      <w:pPr>
        <w:ind w:left="7996" w:hanging="360"/>
      </w:pPr>
      <w:rPr>
        <w:rFonts w:hint="default"/>
      </w:rPr>
    </w:lvl>
  </w:abstractNum>
  <w:abstractNum w:abstractNumId="30">
    <w:nsid w:val="613F0C33"/>
    <w:multiLevelType w:val="hybridMultilevel"/>
    <w:tmpl w:val="0AB41DAE"/>
    <w:lvl w:ilvl="0" w:tplc="C60682CA">
      <w:numFmt w:val="bullet"/>
      <w:lvlText w:val="–"/>
      <w:lvlJc w:val="left"/>
      <w:pPr>
        <w:ind w:left="720" w:hanging="360"/>
      </w:pPr>
      <w:rPr>
        <w:rFonts w:ascii="Tahoma" w:eastAsiaTheme="minorHAns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924DDE"/>
    <w:multiLevelType w:val="hybridMultilevel"/>
    <w:tmpl w:val="2B34F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3BB3F40"/>
    <w:multiLevelType w:val="hybridMultilevel"/>
    <w:tmpl w:val="7A9644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504246B"/>
    <w:multiLevelType w:val="hybridMultilevel"/>
    <w:tmpl w:val="8870AE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7E34690"/>
    <w:multiLevelType w:val="hybridMultilevel"/>
    <w:tmpl w:val="6A32866E"/>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94308D8"/>
    <w:multiLevelType w:val="hybridMultilevel"/>
    <w:tmpl w:val="E3DE5E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B4F0B57"/>
    <w:multiLevelType w:val="multilevel"/>
    <w:tmpl w:val="25F44552"/>
    <w:lvl w:ilvl="0">
      <w:start w:val="3"/>
      <w:numFmt w:val="decimal"/>
      <w:lvlText w:val="%1"/>
      <w:lvlJc w:val="left"/>
      <w:pPr>
        <w:ind w:left="938" w:hanging="720"/>
      </w:pPr>
      <w:rPr>
        <w:rFonts w:hint="default"/>
      </w:rPr>
    </w:lvl>
    <w:lvl w:ilvl="1">
      <w:start w:val="1"/>
      <w:numFmt w:val="decimal"/>
      <w:lvlText w:val="%1.%2"/>
      <w:lvlJc w:val="left"/>
      <w:pPr>
        <w:ind w:left="578" w:hanging="360"/>
      </w:pPr>
      <w:rPr>
        <w:rFonts w:hint="default"/>
        <w:b/>
        <w:bCs/>
        <w:spacing w:val="-1"/>
        <w:w w:val="100"/>
      </w:rPr>
    </w:lvl>
    <w:lvl w:ilvl="2">
      <w:start w:val="1"/>
      <w:numFmt w:val="decimal"/>
      <w:lvlText w:val="%1.%2.%3"/>
      <w:lvlJc w:val="left"/>
      <w:pPr>
        <w:ind w:left="938" w:hanging="360"/>
      </w:pPr>
      <w:rPr>
        <w:rFonts w:ascii="Arial" w:eastAsia="Arial" w:hAnsi="Arial" w:cs="Arial" w:hint="default"/>
        <w:b/>
        <w:bCs/>
        <w:spacing w:val="-1"/>
        <w:w w:val="100"/>
        <w:sz w:val="22"/>
        <w:szCs w:val="22"/>
      </w:rPr>
    </w:lvl>
    <w:lvl w:ilvl="3">
      <w:numFmt w:val="bullet"/>
      <w:lvlText w:val="•"/>
      <w:lvlJc w:val="left"/>
      <w:pPr>
        <w:ind w:left="2042" w:hanging="360"/>
      </w:pPr>
      <w:rPr>
        <w:rFonts w:hint="default"/>
      </w:rPr>
    </w:lvl>
    <w:lvl w:ilvl="4">
      <w:numFmt w:val="bullet"/>
      <w:lvlText w:val="•"/>
      <w:lvlJc w:val="left"/>
      <w:pPr>
        <w:ind w:left="3145" w:hanging="360"/>
      </w:pPr>
      <w:rPr>
        <w:rFonts w:hint="default"/>
      </w:rPr>
    </w:lvl>
    <w:lvl w:ilvl="5">
      <w:numFmt w:val="bullet"/>
      <w:lvlText w:val="•"/>
      <w:lvlJc w:val="left"/>
      <w:pPr>
        <w:ind w:left="4247" w:hanging="360"/>
      </w:pPr>
      <w:rPr>
        <w:rFonts w:hint="default"/>
      </w:rPr>
    </w:lvl>
    <w:lvl w:ilvl="6">
      <w:numFmt w:val="bullet"/>
      <w:lvlText w:val="•"/>
      <w:lvlJc w:val="left"/>
      <w:pPr>
        <w:ind w:left="5350" w:hanging="360"/>
      </w:pPr>
      <w:rPr>
        <w:rFonts w:hint="default"/>
      </w:rPr>
    </w:lvl>
    <w:lvl w:ilvl="7">
      <w:numFmt w:val="bullet"/>
      <w:lvlText w:val="•"/>
      <w:lvlJc w:val="left"/>
      <w:pPr>
        <w:ind w:left="6452" w:hanging="360"/>
      </w:pPr>
      <w:rPr>
        <w:rFonts w:hint="default"/>
      </w:rPr>
    </w:lvl>
    <w:lvl w:ilvl="8">
      <w:numFmt w:val="bullet"/>
      <w:lvlText w:val="•"/>
      <w:lvlJc w:val="left"/>
      <w:pPr>
        <w:ind w:left="7555" w:hanging="360"/>
      </w:pPr>
      <w:rPr>
        <w:rFonts w:hint="default"/>
      </w:rPr>
    </w:lvl>
  </w:abstractNum>
  <w:abstractNum w:abstractNumId="37">
    <w:nsid w:val="75F2151B"/>
    <w:multiLevelType w:val="hybridMultilevel"/>
    <w:tmpl w:val="E80C92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77B52BD1"/>
    <w:multiLevelType w:val="hybridMultilevel"/>
    <w:tmpl w:val="567C2F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7AE61C86"/>
    <w:multiLevelType w:val="hybridMultilevel"/>
    <w:tmpl w:val="DD4EA3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nsid w:val="7B1D488E"/>
    <w:multiLevelType w:val="hybridMultilevel"/>
    <w:tmpl w:val="762AA6C2"/>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E154A21"/>
    <w:multiLevelType w:val="hybridMultilevel"/>
    <w:tmpl w:val="46602DC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CF06D8"/>
    <w:multiLevelType w:val="hybridMultilevel"/>
    <w:tmpl w:val="7040D318"/>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0"/>
  </w:num>
  <w:num w:numId="4">
    <w:abstractNumId w:val="2"/>
  </w:num>
  <w:num w:numId="5">
    <w:abstractNumId w:val="35"/>
  </w:num>
  <w:num w:numId="6">
    <w:abstractNumId w:val="38"/>
  </w:num>
  <w:num w:numId="7">
    <w:abstractNumId w:val="28"/>
  </w:num>
  <w:num w:numId="8">
    <w:abstractNumId w:val="4"/>
  </w:num>
  <w:num w:numId="9">
    <w:abstractNumId w:val="7"/>
  </w:num>
  <w:num w:numId="10">
    <w:abstractNumId w:val="41"/>
  </w:num>
  <w:num w:numId="11">
    <w:abstractNumId w:val="9"/>
  </w:num>
  <w:num w:numId="12">
    <w:abstractNumId w:val="39"/>
  </w:num>
  <w:num w:numId="13">
    <w:abstractNumId w:val="25"/>
  </w:num>
  <w:num w:numId="14">
    <w:abstractNumId w:val="42"/>
  </w:num>
  <w:num w:numId="15">
    <w:abstractNumId w:val="37"/>
  </w:num>
  <w:num w:numId="16">
    <w:abstractNumId w:val="3"/>
  </w:num>
  <w:num w:numId="17">
    <w:abstractNumId w:val="5"/>
  </w:num>
  <w:num w:numId="18">
    <w:abstractNumId w:val="23"/>
  </w:num>
  <w:num w:numId="19">
    <w:abstractNumId w:val="32"/>
  </w:num>
  <w:num w:numId="20">
    <w:abstractNumId w:val="21"/>
  </w:num>
  <w:num w:numId="21">
    <w:abstractNumId w:val="10"/>
  </w:num>
  <w:num w:numId="22">
    <w:abstractNumId w:val="27"/>
  </w:num>
  <w:num w:numId="23">
    <w:abstractNumId w:val="6"/>
  </w:num>
  <w:num w:numId="24">
    <w:abstractNumId w:val="33"/>
  </w:num>
  <w:num w:numId="25">
    <w:abstractNumId w:val="40"/>
  </w:num>
  <w:num w:numId="26">
    <w:abstractNumId w:val="16"/>
  </w:num>
  <w:num w:numId="27">
    <w:abstractNumId w:val="14"/>
  </w:num>
  <w:num w:numId="28">
    <w:abstractNumId w:val="18"/>
  </w:num>
  <w:num w:numId="29">
    <w:abstractNumId w:val="26"/>
  </w:num>
  <w:num w:numId="30">
    <w:abstractNumId w:val="24"/>
  </w:num>
  <w:num w:numId="31">
    <w:abstractNumId w:val="30"/>
  </w:num>
  <w:num w:numId="32">
    <w:abstractNumId w:val="17"/>
  </w:num>
  <w:num w:numId="33">
    <w:abstractNumId w:val="19"/>
  </w:num>
  <w:num w:numId="34">
    <w:abstractNumId w:val="29"/>
  </w:num>
  <w:num w:numId="35">
    <w:abstractNumId w:val="36"/>
  </w:num>
  <w:num w:numId="36">
    <w:abstractNumId w:val="12"/>
  </w:num>
  <w:num w:numId="37">
    <w:abstractNumId w:val="8"/>
  </w:num>
  <w:num w:numId="38">
    <w:abstractNumId w:val="22"/>
  </w:num>
  <w:num w:numId="39">
    <w:abstractNumId w:val="31"/>
  </w:num>
  <w:num w:numId="40">
    <w:abstractNumId w:val="34"/>
  </w:num>
  <w:num w:numId="41">
    <w:abstractNumId w:val="20"/>
  </w:num>
  <w:num w:numId="42">
    <w:abstractNumId w:val="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23"/>
    <w:rsid w:val="000013D6"/>
    <w:rsid w:val="000123AB"/>
    <w:rsid w:val="00034769"/>
    <w:rsid w:val="000461AF"/>
    <w:rsid w:val="00060D03"/>
    <w:rsid w:val="00064F6B"/>
    <w:rsid w:val="00067BD5"/>
    <w:rsid w:val="000729B1"/>
    <w:rsid w:val="00072BB0"/>
    <w:rsid w:val="000739CD"/>
    <w:rsid w:val="00075E11"/>
    <w:rsid w:val="000901CC"/>
    <w:rsid w:val="000A22E5"/>
    <w:rsid w:val="000A4849"/>
    <w:rsid w:val="000A4A49"/>
    <w:rsid w:val="000A5520"/>
    <w:rsid w:val="000B039C"/>
    <w:rsid w:val="000B2306"/>
    <w:rsid w:val="000B3D5D"/>
    <w:rsid w:val="000C1A23"/>
    <w:rsid w:val="000C7DB6"/>
    <w:rsid w:val="000D1A13"/>
    <w:rsid w:val="000E6DF0"/>
    <w:rsid w:val="000F402D"/>
    <w:rsid w:val="000F6451"/>
    <w:rsid w:val="00113227"/>
    <w:rsid w:val="00114426"/>
    <w:rsid w:val="0013340C"/>
    <w:rsid w:val="00137A26"/>
    <w:rsid w:val="001430CC"/>
    <w:rsid w:val="00144EC8"/>
    <w:rsid w:val="00153EBB"/>
    <w:rsid w:val="00160852"/>
    <w:rsid w:val="0016155E"/>
    <w:rsid w:val="0016249F"/>
    <w:rsid w:val="00163139"/>
    <w:rsid w:val="001665DA"/>
    <w:rsid w:val="00166AE6"/>
    <w:rsid w:val="00166B8C"/>
    <w:rsid w:val="00171296"/>
    <w:rsid w:val="0017346E"/>
    <w:rsid w:val="001741DD"/>
    <w:rsid w:val="00175123"/>
    <w:rsid w:val="00175DB3"/>
    <w:rsid w:val="00186DA1"/>
    <w:rsid w:val="001876A2"/>
    <w:rsid w:val="001904B0"/>
    <w:rsid w:val="001C2097"/>
    <w:rsid w:val="001C5D4F"/>
    <w:rsid w:val="001C6347"/>
    <w:rsid w:val="001D27CC"/>
    <w:rsid w:val="001F0261"/>
    <w:rsid w:val="001F2409"/>
    <w:rsid w:val="001F29DD"/>
    <w:rsid w:val="001F7E03"/>
    <w:rsid w:val="002009E0"/>
    <w:rsid w:val="00210E44"/>
    <w:rsid w:val="00212F78"/>
    <w:rsid w:val="00236D5D"/>
    <w:rsid w:val="0024118B"/>
    <w:rsid w:val="002417D5"/>
    <w:rsid w:val="002550AB"/>
    <w:rsid w:val="00255103"/>
    <w:rsid w:val="0025573F"/>
    <w:rsid w:val="00255A16"/>
    <w:rsid w:val="002652B4"/>
    <w:rsid w:val="0026543B"/>
    <w:rsid w:val="002718F8"/>
    <w:rsid w:val="002730E6"/>
    <w:rsid w:val="00273AA1"/>
    <w:rsid w:val="00287980"/>
    <w:rsid w:val="00290DC6"/>
    <w:rsid w:val="0029148D"/>
    <w:rsid w:val="00292241"/>
    <w:rsid w:val="0029504F"/>
    <w:rsid w:val="00297379"/>
    <w:rsid w:val="002B1DE1"/>
    <w:rsid w:val="002D494A"/>
    <w:rsid w:val="002E0B3B"/>
    <w:rsid w:val="002E36E7"/>
    <w:rsid w:val="002F20B8"/>
    <w:rsid w:val="002F4AC6"/>
    <w:rsid w:val="002F4C07"/>
    <w:rsid w:val="002F6779"/>
    <w:rsid w:val="00300029"/>
    <w:rsid w:val="003117E5"/>
    <w:rsid w:val="0031477C"/>
    <w:rsid w:val="00320EAA"/>
    <w:rsid w:val="00325EFF"/>
    <w:rsid w:val="00325F59"/>
    <w:rsid w:val="00341D06"/>
    <w:rsid w:val="003426A7"/>
    <w:rsid w:val="003451D3"/>
    <w:rsid w:val="0038104F"/>
    <w:rsid w:val="00383A90"/>
    <w:rsid w:val="0038416F"/>
    <w:rsid w:val="0039069F"/>
    <w:rsid w:val="00393981"/>
    <w:rsid w:val="003A0A62"/>
    <w:rsid w:val="003A262E"/>
    <w:rsid w:val="003A3008"/>
    <w:rsid w:val="003A516F"/>
    <w:rsid w:val="003C103E"/>
    <w:rsid w:val="003C20EC"/>
    <w:rsid w:val="003D2B99"/>
    <w:rsid w:val="003D5A8F"/>
    <w:rsid w:val="003D783B"/>
    <w:rsid w:val="003F7D6C"/>
    <w:rsid w:val="004123FD"/>
    <w:rsid w:val="004204BE"/>
    <w:rsid w:val="00432B66"/>
    <w:rsid w:val="00434987"/>
    <w:rsid w:val="0045585C"/>
    <w:rsid w:val="00455C56"/>
    <w:rsid w:val="00467494"/>
    <w:rsid w:val="00494B79"/>
    <w:rsid w:val="004A0FED"/>
    <w:rsid w:val="004C0790"/>
    <w:rsid w:val="004C3257"/>
    <w:rsid w:val="004C75DE"/>
    <w:rsid w:val="004D32A2"/>
    <w:rsid w:val="004D76A5"/>
    <w:rsid w:val="004E0167"/>
    <w:rsid w:val="004E4C22"/>
    <w:rsid w:val="004F5986"/>
    <w:rsid w:val="004F5B27"/>
    <w:rsid w:val="00502D1F"/>
    <w:rsid w:val="00513099"/>
    <w:rsid w:val="005146BE"/>
    <w:rsid w:val="0052062F"/>
    <w:rsid w:val="00520C4E"/>
    <w:rsid w:val="005257CF"/>
    <w:rsid w:val="00546BE1"/>
    <w:rsid w:val="0055009A"/>
    <w:rsid w:val="005560D0"/>
    <w:rsid w:val="005749B5"/>
    <w:rsid w:val="00577EF1"/>
    <w:rsid w:val="00581A4B"/>
    <w:rsid w:val="00593AF5"/>
    <w:rsid w:val="005D0826"/>
    <w:rsid w:val="005D5103"/>
    <w:rsid w:val="005D7D79"/>
    <w:rsid w:val="005E097B"/>
    <w:rsid w:val="005F0C91"/>
    <w:rsid w:val="005F187B"/>
    <w:rsid w:val="00601B50"/>
    <w:rsid w:val="006077D5"/>
    <w:rsid w:val="006118CE"/>
    <w:rsid w:val="00611D57"/>
    <w:rsid w:val="0063207B"/>
    <w:rsid w:val="00632E85"/>
    <w:rsid w:val="00662669"/>
    <w:rsid w:val="0066564B"/>
    <w:rsid w:val="0067159D"/>
    <w:rsid w:val="006736BD"/>
    <w:rsid w:val="006921C7"/>
    <w:rsid w:val="006C0A3A"/>
    <w:rsid w:val="006C2C8B"/>
    <w:rsid w:val="006C574E"/>
    <w:rsid w:val="006C6609"/>
    <w:rsid w:val="006D2E84"/>
    <w:rsid w:val="006D4AC5"/>
    <w:rsid w:val="006E7D60"/>
    <w:rsid w:val="006F0A9C"/>
    <w:rsid w:val="006F5D91"/>
    <w:rsid w:val="006F61BE"/>
    <w:rsid w:val="00704C32"/>
    <w:rsid w:val="00710ABA"/>
    <w:rsid w:val="00712E04"/>
    <w:rsid w:val="00721267"/>
    <w:rsid w:val="00723753"/>
    <w:rsid w:val="00740ADB"/>
    <w:rsid w:val="00742254"/>
    <w:rsid w:val="00743DE0"/>
    <w:rsid w:val="00753617"/>
    <w:rsid w:val="00755265"/>
    <w:rsid w:val="00762176"/>
    <w:rsid w:val="007A3747"/>
    <w:rsid w:val="007B6C2C"/>
    <w:rsid w:val="007C58DD"/>
    <w:rsid w:val="007D2377"/>
    <w:rsid w:val="007D7B30"/>
    <w:rsid w:val="007E2A51"/>
    <w:rsid w:val="007E3FF1"/>
    <w:rsid w:val="007F1C29"/>
    <w:rsid w:val="00816456"/>
    <w:rsid w:val="00822095"/>
    <w:rsid w:val="008424A2"/>
    <w:rsid w:val="00865FB5"/>
    <w:rsid w:val="008667F6"/>
    <w:rsid w:val="00873482"/>
    <w:rsid w:val="00877065"/>
    <w:rsid w:val="0088446D"/>
    <w:rsid w:val="00884F5B"/>
    <w:rsid w:val="0088554A"/>
    <w:rsid w:val="008A2E56"/>
    <w:rsid w:val="008B36DA"/>
    <w:rsid w:val="008C2441"/>
    <w:rsid w:val="008C3EA7"/>
    <w:rsid w:val="008F5FBD"/>
    <w:rsid w:val="00914E8A"/>
    <w:rsid w:val="00947379"/>
    <w:rsid w:val="0095099C"/>
    <w:rsid w:val="00952D6C"/>
    <w:rsid w:val="00964700"/>
    <w:rsid w:val="0097724B"/>
    <w:rsid w:val="009847E1"/>
    <w:rsid w:val="00990333"/>
    <w:rsid w:val="00992DC4"/>
    <w:rsid w:val="009943BA"/>
    <w:rsid w:val="009959D0"/>
    <w:rsid w:val="009A6BAC"/>
    <w:rsid w:val="009B2DD7"/>
    <w:rsid w:val="009C12AD"/>
    <w:rsid w:val="009C59AF"/>
    <w:rsid w:val="009C74E9"/>
    <w:rsid w:val="009D064B"/>
    <w:rsid w:val="009D2CF1"/>
    <w:rsid w:val="009F195F"/>
    <w:rsid w:val="009F5F3C"/>
    <w:rsid w:val="00A04A8B"/>
    <w:rsid w:val="00A0614E"/>
    <w:rsid w:val="00A25536"/>
    <w:rsid w:val="00A54D51"/>
    <w:rsid w:val="00A63286"/>
    <w:rsid w:val="00A70717"/>
    <w:rsid w:val="00A73D30"/>
    <w:rsid w:val="00A841B1"/>
    <w:rsid w:val="00AA2568"/>
    <w:rsid w:val="00AA6435"/>
    <w:rsid w:val="00AB4E97"/>
    <w:rsid w:val="00AC10AA"/>
    <w:rsid w:val="00AC538F"/>
    <w:rsid w:val="00AD10A0"/>
    <w:rsid w:val="00AD6051"/>
    <w:rsid w:val="00AD7271"/>
    <w:rsid w:val="00AE47DE"/>
    <w:rsid w:val="00AF0867"/>
    <w:rsid w:val="00AF3114"/>
    <w:rsid w:val="00AF3EE7"/>
    <w:rsid w:val="00AF68D1"/>
    <w:rsid w:val="00B123AA"/>
    <w:rsid w:val="00B246A1"/>
    <w:rsid w:val="00B37362"/>
    <w:rsid w:val="00B41442"/>
    <w:rsid w:val="00B41EA1"/>
    <w:rsid w:val="00B479BF"/>
    <w:rsid w:val="00B548C0"/>
    <w:rsid w:val="00B560EC"/>
    <w:rsid w:val="00B57331"/>
    <w:rsid w:val="00B61833"/>
    <w:rsid w:val="00B61A00"/>
    <w:rsid w:val="00B62A4A"/>
    <w:rsid w:val="00B63A1E"/>
    <w:rsid w:val="00B67F74"/>
    <w:rsid w:val="00B72686"/>
    <w:rsid w:val="00B76BBB"/>
    <w:rsid w:val="00B92A85"/>
    <w:rsid w:val="00B94A76"/>
    <w:rsid w:val="00BB0CAE"/>
    <w:rsid w:val="00BD0BC4"/>
    <w:rsid w:val="00BE299C"/>
    <w:rsid w:val="00BE2BCA"/>
    <w:rsid w:val="00BE6EA7"/>
    <w:rsid w:val="00BF03B7"/>
    <w:rsid w:val="00BF427F"/>
    <w:rsid w:val="00BF4C52"/>
    <w:rsid w:val="00BF7283"/>
    <w:rsid w:val="00BF7BE6"/>
    <w:rsid w:val="00C05B6C"/>
    <w:rsid w:val="00C0607B"/>
    <w:rsid w:val="00C12887"/>
    <w:rsid w:val="00C151F5"/>
    <w:rsid w:val="00C1746D"/>
    <w:rsid w:val="00C2241A"/>
    <w:rsid w:val="00C42C5E"/>
    <w:rsid w:val="00C5125B"/>
    <w:rsid w:val="00C51670"/>
    <w:rsid w:val="00C5447A"/>
    <w:rsid w:val="00C57EB3"/>
    <w:rsid w:val="00C63EEF"/>
    <w:rsid w:val="00C64056"/>
    <w:rsid w:val="00C674CD"/>
    <w:rsid w:val="00C7111B"/>
    <w:rsid w:val="00C770C5"/>
    <w:rsid w:val="00C774F6"/>
    <w:rsid w:val="00C863F8"/>
    <w:rsid w:val="00C86D92"/>
    <w:rsid w:val="00CA409A"/>
    <w:rsid w:val="00CA4943"/>
    <w:rsid w:val="00CA6150"/>
    <w:rsid w:val="00CB2C57"/>
    <w:rsid w:val="00CC5D57"/>
    <w:rsid w:val="00CD59E5"/>
    <w:rsid w:val="00CD6CA0"/>
    <w:rsid w:val="00CE5B78"/>
    <w:rsid w:val="00CF040E"/>
    <w:rsid w:val="00D03F5D"/>
    <w:rsid w:val="00D11641"/>
    <w:rsid w:val="00D23704"/>
    <w:rsid w:val="00D254D5"/>
    <w:rsid w:val="00D313C5"/>
    <w:rsid w:val="00D65167"/>
    <w:rsid w:val="00D728A4"/>
    <w:rsid w:val="00D77A9E"/>
    <w:rsid w:val="00D77E2B"/>
    <w:rsid w:val="00DA7406"/>
    <w:rsid w:val="00DB3877"/>
    <w:rsid w:val="00DD5AE2"/>
    <w:rsid w:val="00DE7E56"/>
    <w:rsid w:val="00DF47C1"/>
    <w:rsid w:val="00DF6A8A"/>
    <w:rsid w:val="00E03E40"/>
    <w:rsid w:val="00E07B46"/>
    <w:rsid w:val="00E22C8D"/>
    <w:rsid w:val="00E30D27"/>
    <w:rsid w:val="00E40DB9"/>
    <w:rsid w:val="00E637F1"/>
    <w:rsid w:val="00E738E5"/>
    <w:rsid w:val="00E76BFC"/>
    <w:rsid w:val="00E92890"/>
    <w:rsid w:val="00E97685"/>
    <w:rsid w:val="00EB0F84"/>
    <w:rsid w:val="00EC6071"/>
    <w:rsid w:val="00ED2E92"/>
    <w:rsid w:val="00ED5D89"/>
    <w:rsid w:val="00EF6CE7"/>
    <w:rsid w:val="00F44EDE"/>
    <w:rsid w:val="00F47679"/>
    <w:rsid w:val="00F66970"/>
    <w:rsid w:val="00F71238"/>
    <w:rsid w:val="00F73E4F"/>
    <w:rsid w:val="00F7471E"/>
    <w:rsid w:val="00F8211D"/>
    <w:rsid w:val="00F83797"/>
    <w:rsid w:val="00F87B57"/>
    <w:rsid w:val="00F9027D"/>
    <w:rsid w:val="00F923C6"/>
    <w:rsid w:val="00F93F7B"/>
    <w:rsid w:val="00F97A60"/>
    <w:rsid w:val="00FA377F"/>
    <w:rsid w:val="00FB7613"/>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C1A23"/>
    <w:rPr>
      <w:sz w:val="24"/>
      <w:szCs w:val="24"/>
    </w:rPr>
  </w:style>
  <w:style w:type="paragraph" w:styleId="Naslov2">
    <w:name w:val="heading 2"/>
    <w:basedOn w:val="Navaden"/>
    <w:next w:val="Navaden"/>
    <w:link w:val="Naslov2Znak"/>
    <w:qFormat/>
    <w:rsid w:val="002E36E7"/>
    <w:pPr>
      <w:keepNext/>
      <w:widowControl w:val="0"/>
      <w:numPr>
        <w:numId w:val="23"/>
      </w:numPr>
      <w:spacing w:before="300" w:after="120"/>
      <w:jc w:val="both"/>
      <w:outlineLvl w:val="1"/>
    </w:pPr>
    <w:rPr>
      <w:rFonts w:ascii="Arial" w:hAnsi="Arial" w:cs="Arial"/>
      <w:b/>
      <w:bCs/>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0C1A23"/>
    <w:pPr>
      <w:tabs>
        <w:tab w:val="center" w:pos="4536"/>
        <w:tab w:val="right" w:pos="9072"/>
      </w:tabs>
    </w:pPr>
  </w:style>
  <w:style w:type="paragraph" w:customStyle="1" w:styleId="p">
    <w:name w:val="p"/>
    <w:basedOn w:val="Navaden"/>
    <w:rsid w:val="00AE47DE"/>
    <w:pPr>
      <w:spacing w:before="60" w:after="15"/>
      <w:ind w:left="15" w:right="15" w:firstLine="240"/>
      <w:jc w:val="both"/>
    </w:pPr>
    <w:rPr>
      <w:rFonts w:ascii="Arial" w:hAnsi="Arial" w:cs="Arial"/>
      <w:color w:val="222222"/>
      <w:sz w:val="22"/>
      <w:szCs w:val="22"/>
    </w:rPr>
  </w:style>
  <w:style w:type="table" w:styleId="Tabelamrea">
    <w:name w:val="Table Grid"/>
    <w:basedOn w:val="Navadnatabela"/>
    <w:rsid w:val="00A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877065"/>
    <w:pPr>
      <w:tabs>
        <w:tab w:val="center" w:pos="4536"/>
        <w:tab w:val="right" w:pos="9072"/>
      </w:tabs>
    </w:pPr>
  </w:style>
  <w:style w:type="character" w:customStyle="1" w:styleId="GlavaZnak">
    <w:name w:val="Glava Znak"/>
    <w:basedOn w:val="Privzetapisavaodstavka"/>
    <w:link w:val="Glava"/>
    <w:uiPriority w:val="99"/>
    <w:rsid w:val="00877065"/>
    <w:rPr>
      <w:sz w:val="24"/>
      <w:szCs w:val="24"/>
    </w:rPr>
  </w:style>
  <w:style w:type="character" w:customStyle="1" w:styleId="Naslov2Znak">
    <w:name w:val="Naslov 2 Znak"/>
    <w:basedOn w:val="Privzetapisavaodstavka"/>
    <w:link w:val="Naslov2"/>
    <w:rsid w:val="002E36E7"/>
    <w:rPr>
      <w:rFonts w:ascii="Arial" w:hAnsi="Arial" w:cs="Arial"/>
      <w:b/>
      <w:bCs/>
      <w:iCs/>
      <w:sz w:val="22"/>
      <w:szCs w:val="22"/>
    </w:rPr>
  </w:style>
  <w:style w:type="numbering" w:customStyle="1" w:styleId="Brezseznama1">
    <w:name w:val="Brez seznama1"/>
    <w:next w:val="Brezseznama"/>
    <w:uiPriority w:val="99"/>
    <w:semiHidden/>
    <w:unhideWhenUsed/>
    <w:rsid w:val="002E36E7"/>
  </w:style>
  <w:style w:type="paragraph" w:styleId="Odstavekseznama">
    <w:name w:val="List Paragraph"/>
    <w:basedOn w:val="Navaden"/>
    <w:uiPriority w:val="34"/>
    <w:qFormat/>
    <w:rsid w:val="002E36E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atevanje">
    <w:name w:val="Naštevanje"/>
    <w:basedOn w:val="Navaden"/>
    <w:rsid w:val="002E36E7"/>
    <w:pPr>
      <w:numPr>
        <w:numId w:val="22"/>
      </w:numPr>
      <w:suppressAutoHyphens/>
      <w:jc w:val="both"/>
    </w:pPr>
    <w:rPr>
      <w:rFonts w:ascii="Arial" w:hAnsi="Arial"/>
      <w:sz w:val="22"/>
      <w:szCs w:val="22"/>
    </w:rPr>
  </w:style>
  <w:style w:type="table" w:customStyle="1" w:styleId="Tabelamrea1">
    <w:name w:val="Tabela – mreža1"/>
    <w:basedOn w:val="Navadnatabela"/>
    <w:next w:val="Tabelamrea"/>
    <w:uiPriority w:val="59"/>
    <w:rsid w:val="002E36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36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E36E7"/>
    <w:pPr>
      <w:widowControl w:val="0"/>
      <w:autoSpaceDE w:val="0"/>
      <w:autoSpaceDN w:val="0"/>
    </w:pPr>
    <w:rPr>
      <w:rFonts w:ascii="Arial" w:eastAsia="Arial" w:hAnsi="Arial" w:cs="Arial"/>
      <w:sz w:val="22"/>
      <w:szCs w:val="22"/>
      <w:lang w:val="en-US" w:eastAsia="en-US"/>
    </w:rPr>
  </w:style>
  <w:style w:type="character" w:customStyle="1" w:styleId="TelobesedilaZnak">
    <w:name w:val="Telo besedila Znak"/>
    <w:basedOn w:val="Privzetapisavaodstavka"/>
    <w:link w:val="Telobesedila"/>
    <w:uiPriority w:val="1"/>
    <w:rsid w:val="002E36E7"/>
    <w:rPr>
      <w:rFonts w:ascii="Arial" w:eastAsia="Arial" w:hAnsi="Arial" w:cs="Arial"/>
      <w:sz w:val="22"/>
      <w:szCs w:val="22"/>
      <w:lang w:val="en-US" w:eastAsia="en-US"/>
    </w:rPr>
  </w:style>
  <w:style w:type="paragraph" w:customStyle="1" w:styleId="TableParagraph">
    <w:name w:val="Table Paragraph"/>
    <w:basedOn w:val="Navaden"/>
    <w:uiPriority w:val="1"/>
    <w:qFormat/>
    <w:rsid w:val="002E36E7"/>
    <w:pPr>
      <w:widowControl w:val="0"/>
      <w:autoSpaceDE w:val="0"/>
      <w:autoSpaceDN w:val="0"/>
      <w:ind w:left="107"/>
      <w:jc w:val="center"/>
    </w:pPr>
    <w:rPr>
      <w:rFonts w:ascii="Arial" w:eastAsia="Arial" w:hAnsi="Arial" w:cs="Arial"/>
      <w:sz w:val="22"/>
      <w:szCs w:val="22"/>
      <w:lang w:val="en-US" w:eastAsia="en-US"/>
    </w:rPr>
  </w:style>
  <w:style w:type="paragraph" w:customStyle="1" w:styleId="Natevanje1">
    <w:name w:val="Naštevanje 1"/>
    <w:basedOn w:val="Navaden"/>
    <w:rsid w:val="002E36E7"/>
    <w:pPr>
      <w:numPr>
        <w:ilvl w:val="1"/>
        <w:numId w:val="42"/>
      </w:numPr>
      <w:jc w:val="both"/>
    </w:pPr>
    <w:rPr>
      <w:rFonts w:ascii="Arial" w:hAnsi="Arial"/>
      <w:sz w:val="22"/>
      <w:szCs w:val="22"/>
    </w:rPr>
  </w:style>
  <w:style w:type="character" w:customStyle="1" w:styleId="NogaZnak">
    <w:name w:val="Noga Znak"/>
    <w:basedOn w:val="Privzetapisavaodstavka"/>
    <w:link w:val="Noga"/>
    <w:uiPriority w:val="99"/>
    <w:rsid w:val="002E36E7"/>
    <w:rPr>
      <w:sz w:val="24"/>
      <w:szCs w:val="24"/>
    </w:rPr>
  </w:style>
  <w:style w:type="paragraph" w:styleId="Besedilooblaka">
    <w:name w:val="Balloon Text"/>
    <w:basedOn w:val="Navaden"/>
    <w:link w:val="BesedilooblakaZnak"/>
    <w:uiPriority w:val="99"/>
    <w:unhideWhenUsed/>
    <w:rsid w:val="002E36E7"/>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rsid w:val="002E36E7"/>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C1A23"/>
    <w:rPr>
      <w:sz w:val="24"/>
      <w:szCs w:val="24"/>
    </w:rPr>
  </w:style>
  <w:style w:type="paragraph" w:styleId="Naslov2">
    <w:name w:val="heading 2"/>
    <w:basedOn w:val="Navaden"/>
    <w:next w:val="Navaden"/>
    <w:link w:val="Naslov2Znak"/>
    <w:qFormat/>
    <w:rsid w:val="002E36E7"/>
    <w:pPr>
      <w:keepNext/>
      <w:widowControl w:val="0"/>
      <w:numPr>
        <w:numId w:val="23"/>
      </w:numPr>
      <w:spacing w:before="300" w:after="120"/>
      <w:jc w:val="both"/>
      <w:outlineLvl w:val="1"/>
    </w:pPr>
    <w:rPr>
      <w:rFonts w:ascii="Arial" w:hAnsi="Arial" w:cs="Arial"/>
      <w:b/>
      <w:bCs/>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0C1A23"/>
    <w:pPr>
      <w:tabs>
        <w:tab w:val="center" w:pos="4536"/>
        <w:tab w:val="right" w:pos="9072"/>
      </w:tabs>
    </w:pPr>
  </w:style>
  <w:style w:type="paragraph" w:customStyle="1" w:styleId="p">
    <w:name w:val="p"/>
    <w:basedOn w:val="Navaden"/>
    <w:rsid w:val="00AE47DE"/>
    <w:pPr>
      <w:spacing w:before="60" w:after="15"/>
      <w:ind w:left="15" w:right="15" w:firstLine="240"/>
      <w:jc w:val="both"/>
    </w:pPr>
    <w:rPr>
      <w:rFonts w:ascii="Arial" w:hAnsi="Arial" w:cs="Arial"/>
      <w:color w:val="222222"/>
      <w:sz w:val="22"/>
      <w:szCs w:val="22"/>
    </w:rPr>
  </w:style>
  <w:style w:type="table" w:styleId="Tabelamrea">
    <w:name w:val="Table Grid"/>
    <w:basedOn w:val="Navadnatabela"/>
    <w:rsid w:val="00A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877065"/>
    <w:pPr>
      <w:tabs>
        <w:tab w:val="center" w:pos="4536"/>
        <w:tab w:val="right" w:pos="9072"/>
      </w:tabs>
    </w:pPr>
  </w:style>
  <w:style w:type="character" w:customStyle="1" w:styleId="GlavaZnak">
    <w:name w:val="Glava Znak"/>
    <w:basedOn w:val="Privzetapisavaodstavka"/>
    <w:link w:val="Glava"/>
    <w:uiPriority w:val="99"/>
    <w:rsid w:val="00877065"/>
    <w:rPr>
      <w:sz w:val="24"/>
      <w:szCs w:val="24"/>
    </w:rPr>
  </w:style>
  <w:style w:type="character" w:customStyle="1" w:styleId="Naslov2Znak">
    <w:name w:val="Naslov 2 Znak"/>
    <w:basedOn w:val="Privzetapisavaodstavka"/>
    <w:link w:val="Naslov2"/>
    <w:rsid w:val="002E36E7"/>
    <w:rPr>
      <w:rFonts w:ascii="Arial" w:hAnsi="Arial" w:cs="Arial"/>
      <w:b/>
      <w:bCs/>
      <w:iCs/>
      <w:sz w:val="22"/>
      <w:szCs w:val="22"/>
    </w:rPr>
  </w:style>
  <w:style w:type="numbering" w:customStyle="1" w:styleId="Brezseznama1">
    <w:name w:val="Brez seznama1"/>
    <w:next w:val="Brezseznama"/>
    <w:uiPriority w:val="99"/>
    <w:semiHidden/>
    <w:unhideWhenUsed/>
    <w:rsid w:val="002E36E7"/>
  </w:style>
  <w:style w:type="paragraph" w:styleId="Odstavekseznama">
    <w:name w:val="List Paragraph"/>
    <w:basedOn w:val="Navaden"/>
    <w:uiPriority w:val="34"/>
    <w:qFormat/>
    <w:rsid w:val="002E36E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atevanje">
    <w:name w:val="Naštevanje"/>
    <w:basedOn w:val="Navaden"/>
    <w:rsid w:val="002E36E7"/>
    <w:pPr>
      <w:numPr>
        <w:numId w:val="22"/>
      </w:numPr>
      <w:suppressAutoHyphens/>
      <w:jc w:val="both"/>
    </w:pPr>
    <w:rPr>
      <w:rFonts w:ascii="Arial" w:hAnsi="Arial"/>
      <w:sz w:val="22"/>
      <w:szCs w:val="22"/>
    </w:rPr>
  </w:style>
  <w:style w:type="table" w:customStyle="1" w:styleId="Tabelamrea1">
    <w:name w:val="Tabela – mreža1"/>
    <w:basedOn w:val="Navadnatabela"/>
    <w:next w:val="Tabelamrea"/>
    <w:uiPriority w:val="59"/>
    <w:rsid w:val="002E36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36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E36E7"/>
    <w:pPr>
      <w:widowControl w:val="0"/>
      <w:autoSpaceDE w:val="0"/>
      <w:autoSpaceDN w:val="0"/>
    </w:pPr>
    <w:rPr>
      <w:rFonts w:ascii="Arial" w:eastAsia="Arial" w:hAnsi="Arial" w:cs="Arial"/>
      <w:sz w:val="22"/>
      <w:szCs w:val="22"/>
      <w:lang w:val="en-US" w:eastAsia="en-US"/>
    </w:rPr>
  </w:style>
  <w:style w:type="character" w:customStyle="1" w:styleId="TelobesedilaZnak">
    <w:name w:val="Telo besedila Znak"/>
    <w:basedOn w:val="Privzetapisavaodstavka"/>
    <w:link w:val="Telobesedila"/>
    <w:uiPriority w:val="1"/>
    <w:rsid w:val="002E36E7"/>
    <w:rPr>
      <w:rFonts w:ascii="Arial" w:eastAsia="Arial" w:hAnsi="Arial" w:cs="Arial"/>
      <w:sz w:val="22"/>
      <w:szCs w:val="22"/>
      <w:lang w:val="en-US" w:eastAsia="en-US"/>
    </w:rPr>
  </w:style>
  <w:style w:type="paragraph" w:customStyle="1" w:styleId="TableParagraph">
    <w:name w:val="Table Paragraph"/>
    <w:basedOn w:val="Navaden"/>
    <w:uiPriority w:val="1"/>
    <w:qFormat/>
    <w:rsid w:val="002E36E7"/>
    <w:pPr>
      <w:widowControl w:val="0"/>
      <w:autoSpaceDE w:val="0"/>
      <w:autoSpaceDN w:val="0"/>
      <w:ind w:left="107"/>
      <w:jc w:val="center"/>
    </w:pPr>
    <w:rPr>
      <w:rFonts w:ascii="Arial" w:eastAsia="Arial" w:hAnsi="Arial" w:cs="Arial"/>
      <w:sz w:val="22"/>
      <w:szCs w:val="22"/>
      <w:lang w:val="en-US" w:eastAsia="en-US"/>
    </w:rPr>
  </w:style>
  <w:style w:type="paragraph" w:customStyle="1" w:styleId="Natevanje1">
    <w:name w:val="Naštevanje 1"/>
    <w:basedOn w:val="Navaden"/>
    <w:rsid w:val="002E36E7"/>
    <w:pPr>
      <w:numPr>
        <w:ilvl w:val="1"/>
        <w:numId w:val="42"/>
      </w:numPr>
      <w:jc w:val="both"/>
    </w:pPr>
    <w:rPr>
      <w:rFonts w:ascii="Arial" w:hAnsi="Arial"/>
      <w:sz w:val="22"/>
      <w:szCs w:val="22"/>
    </w:rPr>
  </w:style>
  <w:style w:type="character" w:customStyle="1" w:styleId="NogaZnak">
    <w:name w:val="Noga Znak"/>
    <w:basedOn w:val="Privzetapisavaodstavka"/>
    <w:link w:val="Noga"/>
    <w:uiPriority w:val="99"/>
    <w:rsid w:val="002E36E7"/>
    <w:rPr>
      <w:sz w:val="24"/>
      <w:szCs w:val="24"/>
    </w:rPr>
  </w:style>
  <w:style w:type="paragraph" w:styleId="Besedilooblaka">
    <w:name w:val="Balloon Text"/>
    <w:basedOn w:val="Navaden"/>
    <w:link w:val="BesedilooblakaZnak"/>
    <w:uiPriority w:val="99"/>
    <w:unhideWhenUsed/>
    <w:rsid w:val="002E36E7"/>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rsid w:val="002E36E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59A4-C177-4E74-B228-28744E4B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20</Pages>
  <Words>6904</Words>
  <Characters>39356</Characters>
  <Application>Microsoft Office Word</Application>
  <DocSecurity>0</DocSecurity>
  <Lines>327</Lines>
  <Paragraphs>92</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
  <LinksUpToDate>false</LinksUpToDate>
  <CharactersWithSpaces>46168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Petra</dc:creator>
  <cp:lastModifiedBy>Petra</cp:lastModifiedBy>
  <cp:revision>25</cp:revision>
  <cp:lastPrinted>2009-12-08T07:14:00Z</cp:lastPrinted>
  <dcterms:created xsi:type="dcterms:W3CDTF">2019-01-31T09:31:00Z</dcterms:created>
  <dcterms:modified xsi:type="dcterms:W3CDTF">2019-02-05T07:52:00Z</dcterms:modified>
</cp:coreProperties>
</file>