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F7" w:rsidRPr="00657251" w:rsidRDefault="003D71F7" w:rsidP="003D71F7">
      <w:pPr>
        <w:outlineLvl w:val="0"/>
        <w:rPr>
          <w:rFonts w:ascii="Tahoma" w:hAnsi="Tahoma"/>
          <w:b/>
          <w:sz w:val="22"/>
        </w:rPr>
      </w:pPr>
      <w:bookmarkStart w:id="0" w:name="_GoBack"/>
      <w:bookmarkEnd w:id="0"/>
      <w:r w:rsidRPr="00657251">
        <w:rPr>
          <w:rFonts w:ascii="Tahoma" w:hAnsi="Tahoma"/>
          <w:b/>
          <w:sz w:val="22"/>
        </w:rPr>
        <w:t>OBČINSKI SVET</w:t>
      </w:r>
    </w:p>
    <w:p w:rsidR="003D71F7" w:rsidRPr="00657251" w:rsidRDefault="003D71F7" w:rsidP="003D71F7">
      <w:pPr>
        <w:outlineLvl w:val="0"/>
        <w:rPr>
          <w:rFonts w:ascii="Tahoma" w:hAnsi="Tahoma"/>
          <w:b/>
          <w:sz w:val="22"/>
        </w:rPr>
      </w:pPr>
      <w:r w:rsidRPr="00657251">
        <w:rPr>
          <w:rFonts w:ascii="Tahoma" w:hAnsi="Tahoma"/>
          <w:b/>
          <w:sz w:val="22"/>
        </w:rPr>
        <w:t>OBČINE ŽIROVNICA</w:t>
      </w:r>
    </w:p>
    <w:p w:rsidR="003D71F7" w:rsidRDefault="003D71F7" w:rsidP="003D71F7">
      <w:pPr>
        <w:outlineLvl w:val="0"/>
        <w:rPr>
          <w:rFonts w:ascii="Tahoma" w:hAnsi="Tahoma"/>
          <w:b/>
          <w:sz w:val="22"/>
        </w:rPr>
      </w:pPr>
    </w:p>
    <w:p w:rsidR="00B42ABB" w:rsidRPr="00657251" w:rsidRDefault="00B42ABB" w:rsidP="003D71F7">
      <w:pPr>
        <w:outlineLvl w:val="0"/>
        <w:rPr>
          <w:rFonts w:ascii="Tahoma" w:hAnsi="Tahoma"/>
          <w:b/>
          <w:sz w:val="22"/>
        </w:rPr>
      </w:pPr>
    </w:p>
    <w:p w:rsidR="003D71F7" w:rsidRPr="00657251" w:rsidRDefault="003D71F7" w:rsidP="003D71F7">
      <w:pPr>
        <w:outlineLvl w:val="0"/>
        <w:rPr>
          <w:rFonts w:ascii="Tahoma" w:hAnsi="Tahoma"/>
          <w:b/>
          <w:sz w:val="22"/>
        </w:rPr>
      </w:pPr>
    </w:p>
    <w:p w:rsidR="003D71F7" w:rsidRPr="00657251" w:rsidRDefault="003D71F7" w:rsidP="003D71F7">
      <w:pPr>
        <w:jc w:val="both"/>
        <w:outlineLvl w:val="0"/>
        <w:rPr>
          <w:rFonts w:ascii="Tahoma" w:hAnsi="Tahoma"/>
          <w:b/>
          <w:sz w:val="22"/>
        </w:rPr>
      </w:pPr>
      <w:r w:rsidRPr="00657251">
        <w:rPr>
          <w:rFonts w:ascii="Tahoma" w:hAnsi="Tahoma"/>
          <w:b/>
          <w:sz w:val="22"/>
        </w:rPr>
        <w:t xml:space="preserve">ODGOVOR NA VPRAŠANJE </w:t>
      </w:r>
      <w:r w:rsidR="00410ABE">
        <w:rPr>
          <w:rFonts w:ascii="Tahoma" w:hAnsi="Tahoma"/>
          <w:b/>
          <w:sz w:val="22"/>
        </w:rPr>
        <w:t xml:space="preserve"> </w:t>
      </w:r>
      <w:r w:rsidRPr="00657251">
        <w:rPr>
          <w:rFonts w:ascii="Tahoma" w:hAnsi="Tahoma"/>
          <w:b/>
          <w:sz w:val="22"/>
        </w:rPr>
        <w:t>ŠT. 56 Z DNE 21.12.2017</w:t>
      </w:r>
    </w:p>
    <w:p w:rsidR="003A5480" w:rsidRPr="00B576EB" w:rsidRDefault="003A5480" w:rsidP="003A5480">
      <w:pPr>
        <w:jc w:val="both"/>
        <w:rPr>
          <w:rFonts w:ascii="Tahoma" w:hAnsi="Tahoma"/>
        </w:rPr>
      </w:pPr>
    </w:p>
    <w:p w:rsidR="003D71F7" w:rsidRDefault="003D71F7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Občinska svetnica </w:t>
      </w:r>
      <w:r w:rsidR="00410ABE">
        <w:rPr>
          <w:rFonts w:ascii="Tahoma" w:hAnsi="Tahoma" w:cs="Tahoma"/>
          <w:color w:val="000000"/>
          <w:sz w:val="22"/>
          <w:szCs w:val="22"/>
        </w:rPr>
        <w:t xml:space="preserve">gospa Tatjana Mulej </w:t>
      </w:r>
      <w:r>
        <w:rPr>
          <w:rFonts w:ascii="Tahoma" w:hAnsi="Tahoma" w:cs="Tahoma"/>
          <w:color w:val="000000"/>
          <w:sz w:val="22"/>
          <w:szCs w:val="22"/>
        </w:rPr>
        <w:t>je vprašanje</w:t>
      </w:r>
      <w:r w:rsidR="00410ABE">
        <w:rPr>
          <w:rFonts w:ascii="Tahoma" w:hAnsi="Tahoma" w:cs="Tahoma"/>
          <w:color w:val="000000"/>
          <w:sz w:val="22"/>
          <w:szCs w:val="22"/>
        </w:rPr>
        <w:t>, ki se nanaša na merila in način izbire kandidatov za občinska priznanja,</w:t>
      </w:r>
      <w:r>
        <w:rPr>
          <w:rFonts w:ascii="Tahoma" w:hAnsi="Tahoma" w:cs="Tahoma"/>
          <w:color w:val="000000"/>
          <w:sz w:val="22"/>
          <w:szCs w:val="22"/>
        </w:rPr>
        <w:t xml:space="preserve"> sicer naslovila na župana in direktorico občinske uprave, ki pa sta ga odstopila KMVVI, saj to področje ni v njuni pristojnosti.</w:t>
      </w:r>
      <w:r w:rsidR="00657251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KMMVI je dne 18.1.2018 na svoji redni seji pripravila naslednje pojasnilo.</w:t>
      </w:r>
    </w:p>
    <w:p w:rsidR="003D71F7" w:rsidRDefault="003D71F7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D71F7" w:rsidRDefault="003D71F7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Postopki in merila za predloge kandidatov so opredeljeni v Odloku o priznanjih občine Žirovnica in na podlagi tega tudi v vsakoletnem razpisu za zbiranje predlogov za podelitev priznanj Občine Žirovnica za posamezno leto.</w:t>
      </w:r>
      <w:r w:rsidR="00B42ABB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Glede na izpostavljen dvom, da komisija odloča glede na to kdo je predlagatelj občinskega priznanja to seveda kategorično zavračamo. Edina merila so obrazložitev,</w:t>
      </w:r>
      <w:r w:rsidR="00385214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pravilnost in pravočasnost vloženih predlogov.</w:t>
      </w:r>
    </w:p>
    <w:p w:rsidR="00DF1ED7" w:rsidRDefault="003D71F7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Res </w:t>
      </w:r>
      <w:r w:rsidR="00DF1ED7">
        <w:rPr>
          <w:rFonts w:ascii="Tahoma" w:hAnsi="Tahoma" w:cs="Tahoma"/>
          <w:color w:val="000000"/>
          <w:sz w:val="22"/>
          <w:szCs w:val="22"/>
        </w:rPr>
        <w:t>je, da v samem odloku in tudi v razpisu niso normativno predpisane in obrazložene vse možne situacije, ki lahko pri vložitvi predlogov in posledično pri odločanju komisije nastanejo. V teh primerih ima komisija skladno s pozitivno prakso pravico do meritornega odločanja oz. po prosti presoji. Prav tako je potrebno poudariti, da komisija poda predlog Občinskemu svetu, o predlogih namreč dokončno odloči prav slednji.</w:t>
      </w:r>
      <w:r w:rsidR="00B42AB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F1ED7">
        <w:rPr>
          <w:rFonts w:ascii="Tahoma" w:hAnsi="Tahoma" w:cs="Tahoma"/>
          <w:color w:val="000000"/>
          <w:sz w:val="22"/>
          <w:szCs w:val="22"/>
        </w:rPr>
        <w:t>Konkreten primer, ko sta komisiji v različnih mandatih v podobnem primeru različno odločili, gre pripisati prav avtonomnosti komisije pri odločanju o zadevah, ki niso natančno predpisane (za enega kandidata predlogi za različna priznanja). Res je, da je bolj prav, da se za take primere izoblikuje praksa, vendar pa komisija v tem primeru ni raziskovala, kako so se v teh primerih odločale komisije v preteklosti</w:t>
      </w:r>
      <w:r w:rsidR="006064D1">
        <w:rPr>
          <w:rFonts w:ascii="Tahoma" w:hAnsi="Tahoma" w:cs="Tahoma"/>
          <w:color w:val="000000"/>
          <w:sz w:val="22"/>
          <w:szCs w:val="22"/>
        </w:rPr>
        <w:t>, v preteklih mandatih.</w:t>
      </w:r>
    </w:p>
    <w:p w:rsidR="006064D1" w:rsidRDefault="006064D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6064D1" w:rsidRDefault="006064D1" w:rsidP="00B42AB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Zaradi tega predlagamo d</w:t>
      </w:r>
      <w:r w:rsidR="00B42ABB">
        <w:rPr>
          <w:rFonts w:ascii="Tahoma" w:hAnsi="Tahoma" w:cs="Tahoma"/>
          <w:color w:val="000000"/>
          <w:sz w:val="22"/>
          <w:szCs w:val="22"/>
        </w:rPr>
        <w:t xml:space="preserve">a </w:t>
      </w:r>
      <w:r w:rsidR="00385214">
        <w:rPr>
          <w:rFonts w:ascii="Tahoma" w:hAnsi="Tahoma" w:cs="Tahoma"/>
          <w:color w:val="000000"/>
          <w:sz w:val="22"/>
          <w:szCs w:val="22"/>
        </w:rPr>
        <w:t xml:space="preserve">se </w:t>
      </w:r>
      <w:r>
        <w:rPr>
          <w:rFonts w:ascii="Tahoma" w:hAnsi="Tahoma" w:cs="Tahoma"/>
          <w:color w:val="000000"/>
          <w:sz w:val="22"/>
          <w:szCs w:val="22"/>
        </w:rPr>
        <w:t xml:space="preserve">popravi Odlok o priznanjih Občine Žirovnica in </w:t>
      </w:r>
      <w:r w:rsidR="00385214">
        <w:rPr>
          <w:rFonts w:ascii="Tahoma" w:hAnsi="Tahoma" w:cs="Tahoma"/>
          <w:color w:val="000000"/>
          <w:sz w:val="22"/>
          <w:szCs w:val="22"/>
        </w:rPr>
        <w:t xml:space="preserve">se </w:t>
      </w:r>
      <w:r>
        <w:rPr>
          <w:rFonts w:ascii="Tahoma" w:hAnsi="Tahoma" w:cs="Tahoma"/>
          <w:color w:val="000000"/>
          <w:sz w:val="22"/>
          <w:szCs w:val="22"/>
        </w:rPr>
        <w:t>v njem konkretno opredeli, da se za vsakega predlaganega prejemnika občinskega priznanja lahko poda le predlog za eno priznanje.</w:t>
      </w:r>
    </w:p>
    <w:p w:rsidR="006064D1" w:rsidRDefault="006064D1" w:rsidP="006064D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657251" w:rsidRDefault="0065725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B42ABB" w:rsidRDefault="00B42ABB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B42ABB" w:rsidRDefault="00B42ABB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3D71F7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D71F7">
        <w:rPr>
          <w:rFonts w:ascii="Tahoma" w:hAnsi="Tahoma" w:cs="Tahoma"/>
          <w:color w:val="000000"/>
          <w:sz w:val="22"/>
          <w:szCs w:val="22"/>
        </w:rPr>
        <w:t>S spoštovanjem.</w:t>
      </w:r>
    </w:p>
    <w:p w:rsidR="003A5480" w:rsidRPr="003D71F7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Default="00657251" w:rsidP="003A5480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Vanja RESMAN NOČ, univ.dipl.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ekon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.,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l.r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</w:t>
      </w:r>
    </w:p>
    <w:p w:rsidR="00657251" w:rsidRPr="003D71F7" w:rsidRDefault="00657251" w:rsidP="003A5480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Predsednica KMVVI</w:t>
      </w:r>
    </w:p>
    <w:p w:rsidR="003A5480" w:rsidRPr="003D71F7" w:rsidRDefault="003A5480" w:rsidP="003A5480">
      <w:pPr>
        <w:autoSpaceDE w:val="0"/>
        <w:autoSpaceDN w:val="0"/>
        <w:adjustRightInd w:val="0"/>
        <w:ind w:left="5664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3D71F7" w:rsidRDefault="003A5480" w:rsidP="003A548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A20B3F" w:rsidRPr="003D71F7" w:rsidRDefault="00A20B3F" w:rsidP="00E70DE2">
      <w:pPr>
        <w:rPr>
          <w:rFonts w:ascii="Tahoma" w:hAnsi="Tahoma" w:cs="Tahoma"/>
          <w:sz w:val="22"/>
          <w:szCs w:val="22"/>
        </w:rPr>
      </w:pPr>
    </w:p>
    <w:sectPr w:rsidR="00A20B3F" w:rsidRPr="003D71F7" w:rsidSect="00E70DE2">
      <w:headerReference w:type="default" r:id="rId7"/>
      <w:headerReference w:type="first" r:id="rId8"/>
      <w:footerReference w:type="first" r:id="rId9"/>
      <w:pgSz w:w="11906" w:h="16838"/>
      <w:pgMar w:top="567" w:right="567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2C" w:rsidRDefault="00EB4E2C" w:rsidP="00ED7D5F">
      <w:r>
        <w:separator/>
      </w:r>
    </w:p>
  </w:endnote>
  <w:endnote w:type="continuationSeparator" w:id="0">
    <w:p w:rsidR="00EB4E2C" w:rsidRDefault="00EB4E2C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43" w:rsidRDefault="00EB4E2C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420643" w:rsidRPr="00015A83" w:rsidRDefault="00420643" w:rsidP="00420643">
    <w:pPr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1332201000, TRR:SI56 0139 2010 0007 760</w:t>
    </w:r>
  </w:p>
  <w:p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2C" w:rsidRDefault="00EB4E2C" w:rsidP="00ED7D5F">
      <w:r>
        <w:separator/>
      </w:r>
    </w:p>
  </w:footnote>
  <w:footnote w:type="continuationSeparator" w:id="0">
    <w:p w:rsidR="00EB4E2C" w:rsidRDefault="00EB4E2C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43" w:rsidRDefault="003D71F7" w:rsidP="00420643">
    <w:pPr>
      <w:ind w:left="-284" w:firstLine="284"/>
      <w:rPr>
        <w:noProof/>
      </w:rPr>
    </w:pPr>
    <w:r>
      <w:rPr>
        <w:noProof/>
      </w:rPr>
      <w:t xml:space="preserve">           </w:t>
    </w:r>
    <w:r w:rsidR="00420643">
      <w:rPr>
        <w:noProof/>
      </w:rPr>
      <w:drawing>
        <wp:inline distT="0" distB="0" distL="0" distR="0" wp14:anchorId="5D8B4A97" wp14:editId="43B96F6D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643" w:rsidRDefault="003D71F7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       </w:t>
    </w:r>
    <w:r w:rsidR="00420643" w:rsidRPr="00E70DE2">
      <w:rPr>
        <w:rFonts w:ascii="Tahoma" w:hAnsi="Tahoma" w:cs="Tahoma"/>
        <w:noProof/>
        <w:szCs w:val="16"/>
      </w:rPr>
      <w:t>Breznica 3, 4274 Žirovnica</w:t>
    </w:r>
  </w:p>
  <w:p w:rsidR="003D71F7" w:rsidRDefault="003D71F7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KOMISIJA ZA MANDATNA VPRAŠANJA</w:t>
    </w:r>
  </w:p>
  <w:p w:rsidR="003D71F7" w:rsidRDefault="003D71F7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       VOLITVE IN IMENOVANJA</w:t>
    </w:r>
  </w:p>
  <w:p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:rsidR="004C4F56" w:rsidRPr="00E70DE2" w:rsidRDefault="004C4F56" w:rsidP="00420643">
    <w:pPr>
      <w:ind w:firstLine="284"/>
      <w:rPr>
        <w:noProof/>
        <w:sz w:val="24"/>
      </w:rPr>
    </w:pPr>
  </w:p>
  <w:p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139"/>
    <w:multiLevelType w:val="hybridMultilevel"/>
    <w:tmpl w:val="72F80D7E"/>
    <w:lvl w:ilvl="0" w:tplc="724C71F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697B65"/>
    <w:multiLevelType w:val="hybridMultilevel"/>
    <w:tmpl w:val="34A043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37DD0"/>
    <w:multiLevelType w:val="hybridMultilevel"/>
    <w:tmpl w:val="D04219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F"/>
    <w:rsid w:val="00121F33"/>
    <w:rsid w:val="00385214"/>
    <w:rsid w:val="003A5480"/>
    <w:rsid w:val="003D71F7"/>
    <w:rsid w:val="00410ABE"/>
    <w:rsid w:val="00420643"/>
    <w:rsid w:val="004B0E95"/>
    <w:rsid w:val="004C4F56"/>
    <w:rsid w:val="005B2531"/>
    <w:rsid w:val="005E6D4F"/>
    <w:rsid w:val="006064D1"/>
    <w:rsid w:val="00657251"/>
    <w:rsid w:val="006F1503"/>
    <w:rsid w:val="00795E8E"/>
    <w:rsid w:val="008635BF"/>
    <w:rsid w:val="008C0E21"/>
    <w:rsid w:val="009D1E5E"/>
    <w:rsid w:val="00A20B3F"/>
    <w:rsid w:val="00A65D31"/>
    <w:rsid w:val="00B42ABB"/>
    <w:rsid w:val="00CA4D84"/>
    <w:rsid w:val="00DF1ED7"/>
    <w:rsid w:val="00E3332B"/>
    <w:rsid w:val="00E70DE2"/>
    <w:rsid w:val="00EB353A"/>
    <w:rsid w:val="00EB4E2C"/>
    <w:rsid w:val="00E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0D22D5-9CA4-4D85-9EFB-E08C12DF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064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064D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064D1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064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064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064D1"/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064D1"/>
    <w:rPr>
      <w:rFonts w:ascii="Times New Roman" w:eastAsia="Times New Roman" w:hAnsi="Times New Roman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606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Helena</cp:lastModifiedBy>
  <cp:revision>2</cp:revision>
  <cp:lastPrinted>2018-01-18T08:14:00Z</cp:lastPrinted>
  <dcterms:created xsi:type="dcterms:W3CDTF">2018-01-18T17:45:00Z</dcterms:created>
  <dcterms:modified xsi:type="dcterms:W3CDTF">2018-01-18T17:45:00Z</dcterms:modified>
</cp:coreProperties>
</file>