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A0" w:rsidRPr="00931F31" w:rsidRDefault="009231A0" w:rsidP="009231A0">
      <w:pPr>
        <w:pStyle w:val="Naslov1"/>
        <w:numPr>
          <w:ilvl w:val="0"/>
          <w:numId w:val="0"/>
        </w:numPr>
        <w:rPr>
          <w:b/>
        </w:rPr>
      </w:pPr>
      <w:r w:rsidRPr="00931F31">
        <w:rPr>
          <w:b/>
        </w:rPr>
        <w:t>OBRAZLOŽITVE ODLOKA O PRORAČUNU OBČINE ROGAŠOVCI za leto 20</w:t>
      </w:r>
      <w:r w:rsidR="00F36EA4" w:rsidRPr="00931F31">
        <w:rPr>
          <w:b/>
        </w:rPr>
        <w:t>20</w:t>
      </w:r>
    </w:p>
    <w:p w:rsidR="009231A0" w:rsidRPr="00931F31" w:rsidRDefault="009231A0" w:rsidP="009231A0"/>
    <w:p w:rsidR="009231A0" w:rsidRPr="00931F31" w:rsidRDefault="009231A0" w:rsidP="009231A0"/>
    <w:p w:rsidR="009231A0" w:rsidRPr="00931F31" w:rsidRDefault="009231A0" w:rsidP="009231A0">
      <w:pPr>
        <w:numPr>
          <w:ilvl w:val="0"/>
          <w:numId w:val="2"/>
        </w:numPr>
        <w:rPr>
          <w:b/>
          <w:sz w:val="24"/>
        </w:rPr>
      </w:pPr>
      <w:r w:rsidRPr="00931F31">
        <w:rPr>
          <w:b/>
          <w:sz w:val="24"/>
        </w:rPr>
        <w:t>člen</w:t>
      </w:r>
    </w:p>
    <w:p w:rsidR="009231A0" w:rsidRPr="00931F31" w:rsidRDefault="00436E11" w:rsidP="009231A0">
      <w:pPr>
        <w:pStyle w:val="Telobesedila3"/>
        <w:jc w:val="both"/>
      </w:pPr>
      <w:r w:rsidRPr="00931F31">
        <w:t xml:space="preserve">S prvim členom se določa vsebina odloka. </w:t>
      </w:r>
      <w:r w:rsidR="009231A0" w:rsidRPr="00931F31">
        <w:t>Proračun občine je akt občine, s katerim so predvideni prihodki in drugi prejemki ter odhodki in drugi izdatki občine za eno leto.</w:t>
      </w:r>
    </w:p>
    <w:p w:rsidR="009231A0" w:rsidRPr="00931F31" w:rsidRDefault="009231A0" w:rsidP="009231A0">
      <w:pPr>
        <w:jc w:val="both"/>
        <w:rPr>
          <w:sz w:val="24"/>
        </w:rPr>
      </w:pPr>
      <w:r w:rsidRPr="00931F31">
        <w:rPr>
          <w:sz w:val="24"/>
        </w:rPr>
        <w:t>Proračun se sprejema z odlokom (2.</w:t>
      </w:r>
      <w:r w:rsidR="00E3066A" w:rsidRPr="00931F31">
        <w:rPr>
          <w:sz w:val="24"/>
        </w:rPr>
        <w:t xml:space="preserve"> </w:t>
      </w:r>
      <w:r w:rsidRPr="00931F31">
        <w:rPr>
          <w:sz w:val="24"/>
        </w:rPr>
        <w:t>odstavek 5. člena Z</w:t>
      </w:r>
      <w:r w:rsidR="005F3781" w:rsidRPr="00931F31">
        <w:rPr>
          <w:sz w:val="24"/>
        </w:rPr>
        <w:t>akona o javnih financah</w:t>
      </w:r>
      <w:r w:rsidRPr="00931F31">
        <w:rPr>
          <w:sz w:val="24"/>
        </w:rPr>
        <w:t>). Z odlokom se določijo višina proračuna, struktura proračuna, postopki izvrševanja proračuna, pooblastila županu pri izvrševanju proračuna, posebnosti upravljanja s premoženjem in obseg zadolževanja in poroštev občine ter javnega sektorja na ravni občine.</w:t>
      </w:r>
    </w:p>
    <w:p w:rsidR="009231A0" w:rsidRPr="00931F31" w:rsidRDefault="009231A0" w:rsidP="009231A0">
      <w:pPr>
        <w:jc w:val="both"/>
        <w:rPr>
          <w:sz w:val="24"/>
        </w:rPr>
      </w:pPr>
      <w:r w:rsidRPr="00931F31">
        <w:rPr>
          <w:sz w:val="24"/>
        </w:rPr>
        <w:t>Ta člen tudi določa, da se sredstva proračuna uporabljajo za namene, ki so določeni z zakoni oziroma občinskimi odloki ter drugimi predpisi. Proračun sam po sebi ne ustvarja pravic in obveznosti za neposrednega uporabnika, niti za fizične in pravne osebe, ampak morajo te izhajati iz materialnih predpisov.</w:t>
      </w:r>
    </w:p>
    <w:p w:rsidR="009231A0" w:rsidRPr="00931F31" w:rsidRDefault="009231A0" w:rsidP="009231A0">
      <w:pPr>
        <w:jc w:val="both"/>
        <w:rPr>
          <w:sz w:val="24"/>
        </w:rPr>
      </w:pPr>
    </w:p>
    <w:p w:rsidR="009231A0" w:rsidRPr="00931F31" w:rsidRDefault="009231A0" w:rsidP="009231A0">
      <w:pPr>
        <w:numPr>
          <w:ilvl w:val="0"/>
          <w:numId w:val="2"/>
        </w:numPr>
        <w:jc w:val="both"/>
        <w:rPr>
          <w:b/>
          <w:sz w:val="24"/>
        </w:rPr>
      </w:pPr>
      <w:r w:rsidRPr="00931F31">
        <w:rPr>
          <w:b/>
          <w:sz w:val="24"/>
        </w:rPr>
        <w:t xml:space="preserve">člen </w:t>
      </w:r>
    </w:p>
    <w:p w:rsidR="009231A0" w:rsidRPr="00931F31" w:rsidRDefault="009231A0" w:rsidP="009231A0">
      <w:pPr>
        <w:pStyle w:val="Telobesedila"/>
      </w:pPr>
      <w:r w:rsidRPr="00931F31">
        <w:t>Občinski svet ob sprejemanju proračuna obravnava dokumente, ki jih določa 10. člen Zakona o javnih financah, to so: splošni del proračuna, posebni del proračuna in načrt razvojnih programov.</w:t>
      </w:r>
    </w:p>
    <w:p w:rsidR="00436E11" w:rsidRPr="00931F31" w:rsidRDefault="009231A0" w:rsidP="009231A0">
      <w:pPr>
        <w:jc w:val="both"/>
        <w:rPr>
          <w:sz w:val="24"/>
        </w:rPr>
      </w:pPr>
      <w:r w:rsidRPr="00931F31">
        <w:rPr>
          <w:b/>
          <w:sz w:val="24"/>
        </w:rPr>
        <w:t>Splošni del</w:t>
      </w:r>
      <w:r w:rsidR="00436E11" w:rsidRPr="00931F31">
        <w:rPr>
          <w:b/>
          <w:sz w:val="24"/>
        </w:rPr>
        <w:t xml:space="preserve"> </w:t>
      </w:r>
      <w:r w:rsidR="00436E11" w:rsidRPr="00931F31">
        <w:rPr>
          <w:sz w:val="24"/>
        </w:rPr>
        <w:t>proračuna vključuje t.i. tri bilance, in sicer: a) bilanco oz. bilanco prihodkov in odhodkov</w:t>
      </w:r>
      <w:r w:rsidR="00752BF5" w:rsidRPr="00931F31">
        <w:rPr>
          <w:sz w:val="24"/>
        </w:rPr>
        <w:t xml:space="preserve">, b) bilanco oz. račun finančnih terjatev in naložb in c) bilanco oz. račun financiranja. </w:t>
      </w:r>
      <w:r w:rsidRPr="00931F31">
        <w:rPr>
          <w:sz w:val="24"/>
        </w:rPr>
        <w:t xml:space="preserve"> </w:t>
      </w:r>
      <w:r w:rsidR="00752BF5" w:rsidRPr="00931F31">
        <w:rPr>
          <w:sz w:val="24"/>
        </w:rPr>
        <w:t>V bilanci prihodkov in odhodkov se na strani prihodkov izkazujejo: davčni prihodki, nedavčni prihodki, kapitalski prihodki, prejete donacije in transferni prihodki, na strani odhodkov pa vsi odhodki, ki zajemajo: tekoče odhodke, tekoče transferje, investicijske odhodke in investicijske transferje.</w:t>
      </w:r>
    </w:p>
    <w:p w:rsidR="009231A0" w:rsidRPr="00931F31" w:rsidRDefault="00436E11" w:rsidP="009231A0">
      <w:pPr>
        <w:jc w:val="both"/>
        <w:rPr>
          <w:sz w:val="24"/>
        </w:rPr>
      </w:pPr>
      <w:r w:rsidRPr="00931F31">
        <w:rPr>
          <w:b/>
          <w:sz w:val="24"/>
        </w:rPr>
        <w:t>P</w:t>
      </w:r>
      <w:r w:rsidR="009231A0" w:rsidRPr="00931F31">
        <w:rPr>
          <w:b/>
          <w:sz w:val="24"/>
        </w:rPr>
        <w:t>osebni del</w:t>
      </w:r>
      <w:r w:rsidR="00752BF5" w:rsidRPr="00931F31">
        <w:rPr>
          <w:sz w:val="24"/>
        </w:rPr>
        <w:t xml:space="preserve"> proračuna sestavlja finančni načrt neposrednih uporabnikov, tj. načrt občine, ki je razdeljen na posamezne finančne načrte proračunskih uporabnikov (tj. organe občine in občinsko upravo ter režijski obrat)</w:t>
      </w:r>
      <w:r w:rsidR="009231A0" w:rsidRPr="00931F31">
        <w:rPr>
          <w:sz w:val="24"/>
        </w:rPr>
        <w:t>.</w:t>
      </w:r>
    </w:p>
    <w:p w:rsidR="009231A0" w:rsidRPr="00931F31" w:rsidRDefault="009231A0" w:rsidP="009231A0">
      <w:pPr>
        <w:jc w:val="both"/>
        <w:rPr>
          <w:sz w:val="24"/>
        </w:rPr>
      </w:pPr>
      <w:r w:rsidRPr="00931F31">
        <w:rPr>
          <w:b/>
          <w:sz w:val="24"/>
        </w:rPr>
        <w:t>Načrt razvojnih programov</w:t>
      </w:r>
      <w:r w:rsidRPr="00931F31">
        <w:rPr>
          <w:sz w:val="24"/>
        </w:rPr>
        <w:t xml:space="preserve"> predstavlja razvojne projekte, investicije in državne pomoči za obdobje prihodnjih štirih let.</w:t>
      </w:r>
      <w:r w:rsidR="00D96B1E" w:rsidRPr="00931F31">
        <w:rPr>
          <w:sz w:val="24"/>
        </w:rPr>
        <w:t xml:space="preserve"> Razlika med finančnimi načrti neposrednih proračunskih uporabnikov določenega programa in načrti razvojnih programov je v tem, da se v načrtih razvojnih programov poleg tega prikaže še vire financiranja in strukturo v celotnem času izvedbe posameznega programa. </w:t>
      </w:r>
    </w:p>
    <w:p w:rsidR="00D96B1E" w:rsidRPr="00931F31" w:rsidRDefault="00D96B1E" w:rsidP="009231A0">
      <w:pPr>
        <w:jc w:val="both"/>
        <w:rPr>
          <w:sz w:val="24"/>
        </w:rPr>
      </w:pPr>
      <w:r w:rsidRPr="00931F31">
        <w:rPr>
          <w:sz w:val="24"/>
        </w:rPr>
        <w:t xml:space="preserve">Načrt razvojnih programov se dopolnjuje vsako leto ob pripravi proračuna in predstavlja element dolgoročnega načrtovanja. </w:t>
      </w:r>
    </w:p>
    <w:p w:rsidR="00D96B1E" w:rsidRPr="00931F31" w:rsidRDefault="00D96B1E" w:rsidP="009231A0">
      <w:pPr>
        <w:jc w:val="both"/>
        <w:rPr>
          <w:sz w:val="24"/>
        </w:rPr>
      </w:pPr>
    </w:p>
    <w:p w:rsidR="005F215E" w:rsidRPr="00931F31" w:rsidRDefault="009231A0" w:rsidP="009231A0">
      <w:pPr>
        <w:jc w:val="both"/>
        <w:rPr>
          <w:sz w:val="24"/>
        </w:rPr>
      </w:pPr>
      <w:r w:rsidRPr="00931F31">
        <w:rPr>
          <w:sz w:val="24"/>
        </w:rPr>
        <w:t>Sestavni del proračuna so tudi obrazložitve splošnega dela, posebnega dela in načrta razvojnih program</w:t>
      </w:r>
      <w:r w:rsidR="005F215E" w:rsidRPr="00931F31">
        <w:rPr>
          <w:sz w:val="24"/>
        </w:rPr>
        <w:t xml:space="preserve">ov ter kadrovski načrt in letni načrt ravnanja z nepremičnim </w:t>
      </w:r>
      <w:r w:rsidR="004B3972" w:rsidRPr="00931F31">
        <w:rPr>
          <w:sz w:val="24"/>
        </w:rPr>
        <w:t xml:space="preserve">in premičnim </w:t>
      </w:r>
      <w:r w:rsidR="005F215E" w:rsidRPr="00931F31">
        <w:rPr>
          <w:sz w:val="24"/>
        </w:rPr>
        <w:t>premoženjem.</w:t>
      </w:r>
    </w:p>
    <w:p w:rsidR="005F215E" w:rsidRPr="00931F31" w:rsidRDefault="005F215E" w:rsidP="009231A0">
      <w:pPr>
        <w:jc w:val="both"/>
        <w:rPr>
          <w:sz w:val="24"/>
        </w:rPr>
      </w:pPr>
    </w:p>
    <w:p w:rsidR="001A78E1" w:rsidRPr="00931F31" w:rsidRDefault="001A78E1" w:rsidP="009231A0">
      <w:pPr>
        <w:numPr>
          <w:ilvl w:val="0"/>
          <w:numId w:val="2"/>
        </w:numPr>
        <w:jc w:val="both"/>
        <w:rPr>
          <w:b/>
          <w:sz w:val="24"/>
        </w:rPr>
      </w:pPr>
      <w:r w:rsidRPr="00931F31">
        <w:rPr>
          <w:b/>
          <w:sz w:val="24"/>
        </w:rPr>
        <w:t>člen</w:t>
      </w:r>
    </w:p>
    <w:p w:rsidR="001A78E1" w:rsidRPr="00931F31" w:rsidRDefault="00D96B1E" w:rsidP="001A78E1">
      <w:pPr>
        <w:jc w:val="both"/>
        <w:rPr>
          <w:sz w:val="24"/>
        </w:rPr>
      </w:pPr>
      <w:r w:rsidRPr="00931F31">
        <w:rPr>
          <w:sz w:val="24"/>
        </w:rPr>
        <w:t xml:space="preserve">Ta člen predpisuje način izvrševanja proračuna. </w:t>
      </w:r>
      <w:r w:rsidR="001A78E1" w:rsidRPr="00931F31">
        <w:rPr>
          <w:sz w:val="24"/>
        </w:rPr>
        <w:t xml:space="preserve">Proračun Občine Rogašovci se izvršuje na ravni proračunske postavke – </w:t>
      </w:r>
      <w:proofErr w:type="spellStart"/>
      <w:r w:rsidR="001A78E1" w:rsidRPr="00931F31">
        <w:rPr>
          <w:sz w:val="24"/>
        </w:rPr>
        <w:t>podkonta</w:t>
      </w:r>
      <w:proofErr w:type="spellEnd"/>
      <w:r w:rsidR="001A78E1" w:rsidRPr="00931F31">
        <w:rPr>
          <w:sz w:val="24"/>
        </w:rPr>
        <w:t xml:space="preserve"> (analitika).</w:t>
      </w:r>
    </w:p>
    <w:p w:rsidR="001A78E1" w:rsidRPr="00931F31" w:rsidRDefault="001A78E1" w:rsidP="001A78E1">
      <w:pPr>
        <w:jc w:val="both"/>
        <w:rPr>
          <w:sz w:val="24"/>
        </w:rPr>
      </w:pPr>
    </w:p>
    <w:p w:rsidR="009231A0" w:rsidRPr="00931F31" w:rsidRDefault="009231A0" w:rsidP="009231A0">
      <w:pPr>
        <w:numPr>
          <w:ilvl w:val="0"/>
          <w:numId w:val="2"/>
        </w:numPr>
        <w:jc w:val="both"/>
        <w:rPr>
          <w:b/>
          <w:sz w:val="24"/>
        </w:rPr>
      </w:pPr>
      <w:r w:rsidRPr="00931F31">
        <w:rPr>
          <w:b/>
          <w:sz w:val="24"/>
        </w:rPr>
        <w:t xml:space="preserve">člen </w:t>
      </w:r>
    </w:p>
    <w:p w:rsidR="009231A0" w:rsidRPr="00931F31" w:rsidRDefault="009231A0" w:rsidP="009231A0">
      <w:pPr>
        <w:pStyle w:val="Telobesedila"/>
      </w:pPr>
      <w:r w:rsidRPr="00931F31">
        <w:t>Zakon o javnih financah v 43. členu določa namenske prihodke proračuna in dovoljuje, da se v odloku opredelijo še drugi namenski prihodki.</w:t>
      </w:r>
    </w:p>
    <w:p w:rsidR="00D96B1E" w:rsidRPr="00931F31" w:rsidRDefault="00D96B1E" w:rsidP="009231A0">
      <w:pPr>
        <w:jc w:val="both"/>
        <w:rPr>
          <w:sz w:val="24"/>
        </w:rPr>
      </w:pPr>
    </w:p>
    <w:p w:rsidR="009231A0" w:rsidRPr="00931F31" w:rsidRDefault="009231A0" w:rsidP="009231A0">
      <w:pPr>
        <w:numPr>
          <w:ilvl w:val="0"/>
          <w:numId w:val="2"/>
        </w:numPr>
        <w:jc w:val="both"/>
        <w:rPr>
          <w:b/>
          <w:sz w:val="24"/>
        </w:rPr>
      </w:pPr>
      <w:r w:rsidRPr="00931F31">
        <w:rPr>
          <w:b/>
          <w:sz w:val="24"/>
        </w:rPr>
        <w:t>člen</w:t>
      </w:r>
    </w:p>
    <w:p w:rsidR="009231A0" w:rsidRPr="00931F31" w:rsidRDefault="00051401" w:rsidP="009231A0">
      <w:pPr>
        <w:jc w:val="both"/>
        <w:rPr>
          <w:sz w:val="24"/>
        </w:rPr>
      </w:pPr>
      <w:r w:rsidRPr="00931F31">
        <w:rPr>
          <w:sz w:val="24"/>
        </w:rPr>
        <w:t>ZJF upošteva, da se lahko pri izvrševanju proračuna pojavijo utemeljene potrebe po prerazporejanju sredstev. Zato je v tem členu predvidena možnost prerazporejanja sredstev oziroma pravic porabe proračunskih sredstev. Takšna možnost je bila dana tudi do sedaj.</w:t>
      </w:r>
    </w:p>
    <w:p w:rsidR="009231A0" w:rsidRPr="00931F31" w:rsidRDefault="009231A0" w:rsidP="009231A0">
      <w:pPr>
        <w:numPr>
          <w:ilvl w:val="0"/>
          <w:numId w:val="2"/>
        </w:numPr>
        <w:jc w:val="both"/>
        <w:rPr>
          <w:b/>
          <w:sz w:val="24"/>
        </w:rPr>
      </w:pPr>
      <w:r w:rsidRPr="00931F31">
        <w:rPr>
          <w:b/>
          <w:sz w:val="24"/>
        </w:rPr>
        <w:lastRenderedPageBreak/>
        <w:t>člen</w:t>
      </w:r>
    </w:p>
    <w:p w:rsidR="009231A0" w:rsidRPr="00931F31" w:rsidRDefault="008313CB" w:rsidP="009231A0">
      <w:pPr>
        <w:jc w:val="both"/>
        <w:rPr>
          <w:sz w:val="24"/>
        </w:rPr>
      </w:pPr>
      <w:r w:rsidRPr="00931F31">
        <w:rPr>
          <w:sz w:val="24"/>
        </w:rPr>
        <w:t>Občinski svet p</w:t>
      </w:r>
      <w:r w:rsidR="009231A0" w:rsidRPr="00931F31">
        <w:rPr>
          <w:sz w:val="24"/>
        </w:rPr>
        <w:t xml:space="preserve">ooblašča župana, da lahko odloča o vlogah za </w:t>
      </w:r>
      <w:r w:rsidR="00E3066A" w:rsidRPr="00931F31">
        <w:rPr>
          <w:sz w:val="24"/>
        </w:rPr>
        <w:t>pokroviteljstva in sofinanciranje različnih prireditev</w:t>
      </w:r>
      <w:r w:rsidR="009231A0" w:rsidRPr="00931F31">
        <w:rPr>
          <w:sz w:val="24"/>
        </w:rPr>
        <w:t xml:space="preserve"> do navedene višine.</w:t>
      </w:r>
    </w:p>
    <w:p w:rsidR="009231A0" w:rsidRPr="00931F31" w:rsidRDefault="009231A0" w:rsidP="009231A0">
      <w:pPr>
        <w:jc w:val="both"/>
        <w:rPr>
          <w:sz w:val="24"/>
        </w:rPr>
      </w:pPr>
    </w:p>
    <w:p w:rsidR="009231A0" w:rsidRPr="00931F31" w:rsidRDefault="009231A0" w:rsidP="009231A0">
      <w:pPr>
        <w:numPr>
          <w:ilvl w:val="0"/>
          <w:numId w:val="2"/>
        </w:numPr>
        <w:jc w:val="both"/>
        <w:rPr>
          <w:b/>
          <w:sz w:val="24"/>
        </w:rPr>
      </w:pPr>
      <w:r w:rsidRPr="00931F31">
        <w:rPr>
          <w:b/>
          <w:sz w:val="24"/>
        </w:rPr>
        <w:t>člen</w:t>
      </w:r>
    </w:p>
    <w:p w:rsidR="0061704C" w:rsidRPr="00931F31" w:rsidRDefault="0061704C" w:rsidP="003F6C87">
      <w:pPr>
        <w:jc w:val="both"/>
        <w:rPr>
          <w:sz w:val="24"/>
        </w:rPr>
      </w:pPr>
      <w:r w:rsidRPr="00931F31">
        <w:rPr>
          <w:sz w:val="24"/>
        </w:rPr>
        <w:t>V tem členu odloka se ureja prevzemanje tekočih in investicijskih obveznosti za prihodnja leta. Te možnosti izhajajo iz 50. in 51. člena ZJF.</w:t>
      </w:r>
    </w:p>
    <w:p w:rsidR="0061704C" w:rsidRPr="00931F31" w:rsidRDefault="0061704C" w:rsidP="003F6C87">
      <w:pPr>
        <w:jc w:val="both"/>
        <w:rPr>
          <w:sz w:val="24"/>
        </w:rPr>
      </w:pPr>
    </w:p>
    <w:p w:rsidR="0061704C" w:rsidRPr="00931F31" w:rsidRDefault="0061704C" w:rsidP="0061704C">
      <w:pPr>
        <w:numPr>
          <w:ilvl w:val="0"/>
          <w:numId w:val="2"/>
        </w:numPr>
        <w:jc w:val="both"/>
        <w:rPr>
          <w:b/>
          <w:sz w:val="24"/>
        </w:rPr>
      </w:pPr>
      <w:r w:rsidRPr="00931F31">
        <w:rPr>
          <w:b/>
          <w:sz w:val="24"/>
        </w:rPr>
        <w:t>člen</w:t>
      </w:r>
    </w:p>
    <w:p w:rsidR="0061704C" w:rsidRPr="00931F31" w:rsidRDefault="0061704C" w:rsidP="0061704C">
      <w:pPr>
        <w:jc w:val="both"/>
        <w:rPr>
          <w:sz w:val="24"/>
        </w:rPr>
      </w:pPr>
      <w:r w:rsidRPr="00931F31">
        <w:rPr>
          <w:sz w:val="24"/>
        </w:rPr>
        <w:t xml:space="preserve">Zakon o izvrševanju proračunov RS določa pravice spreminjanja NRP za tekoče in prihodnja leta. Predlagana ureditev v odloku je primerna predvsem zaradi državnih </w:t>
      </w:r>
      <w:r w:rsidR="008A16AA" w:rsidRPr="00931F31">
        <w:rPr>
          <w:sz w:val="24"/>
        </w:rPr>
        <w:t>razpisov</w:t>
      </w:r>
      <w:r w:rsidRPr="00931F31">
        <w:rPr>
          <w:sz w:val="24"/>
        </w:rPr>
        <w:t xml:space="preserve">, saj je potrebno uskladiti NRP-je z državnim in s tem pooblastilom lahko </w:t>
      </w:r>
      <w:r w:rsidR="008313CB" w:rsidRPr="00931F31">
        <w:rPr>
          <w:sz w:val="24"/>
        </w:rPr>
        <w:t xml:space="preserve">župan </w:t>
      </w:r>
      <w:r w:rsidRPr="00931F31">
        <w:rPr>
          <w:sz w:val="24"/>
        </w:rPr>
        <w:t>do 20 % vrednosti projekta naredi brez občinskega sveta, če s tem ne poseže v proračun. To pomeni, da lahko nek projekt poveča ali zmanjša na račun drugega, če to zahtevajo aktualne razmere.</w:t>
      </w:r>
    </w:p>
    <w:p w:rsidR="009231A0" w:rsidRPr="00931F31" w:rsidRDefault="009231A0" w:rsidP="009231A0">
      <w:pPr>
        <w:jc w:val="both"/>
        <w:rPr>
          <w:sz w:val="24"/>
        </w:rPr>
      </w:pPr>
    </w:p>
    <w:p w:rsidR="009231A0" w:rsidRPr="00931F31" w:rsidRDefault="009231A0" w:rsidP="009231A0">
      <w:pPr>
        <w:numPr>
          <w:ilvl w:val="0"/>
          <w:numId w:val="2"/>
        </w:numPr>
        <w:jc w:val="both"/>
        <w:rPr>
          <w:b/>
          <w:sz w:val="24"/>
        </w:rPr>
      </w:pPr>
      <w:r w:rsidRPr="00931F31">
        <w:rPr>
          <w:b/>
          <w:sz w:val="24"/>
        </w:rPr>
        <w:t>člen</w:t>
      </w:r>
    </w:p>
    <w:p w:rsidR="008A16AA" w:rsidRPr="00931F31" w:rsidRDefault="008A16AA" w:rsidP="008A16AA">
      <w:pPr>
        <w:jc w:val="both"/>
        <w:rPr>
          <w:sz w:val="24"/>
        </w:rPr>
      </w:pPr>
      <w:r w:rsidRPr="00931F31">
        <w:rPr>
          <w:sz w:val="24"/>
        </w:rPr>
        <w:t>ZJF določa oblikovanje in uporabo sredstev proračunske rezerve (49. člen). Sredstva se uporabljajo za financiranje izdatkov za odpravo posledic naravnih nesreč in drugih nesreč, ki jih povzročijo naravne sile in ekološke nesreče. V skladu z določili ZJF se lahko v proračunski rezervni sklad letno izloči največ 1,5 % prejemkov proračuna – za leto 20</w:t>
      </w:r>
      <w:r w:rsidR="00931F31">
        <w:rPr>
          <w:sz w:val="24"/>
        </w:rPr>
        <w:t>20</w:t>
      </w:r>
      <w:r w:rsidRPr="00931F31">
        <w:rPr>
          <w:sz w:val="24"/>
        </w:rPr>
        <w:t xml:space="preserve"> </w:t>
      </w:r>
      <w:r w:rsidR="00810E85" w:rsidRPr="00931F31">
        <w:rPr>
          <w:sz w:val="24"/>
        </w:rPr>
        <w:t xml:space="preserve">se </w:t>
      </w:r>
      <w:r w:rsidR="008328C2" w:rsidRPr="00931F31">
        <w:rPr>
          <w:sz w:val="24"/>
        </w:rPr>
        <w:t>načrtuje izločitev v višini 5.000,00 EUR.</w:t>
      </w:r>
    </w:p>
    <w:p w:rsidR="008A16AA" w:rsidRPr="00931F31" w:rsidRDefault="008A16AA" w:rsidP="008A16AA">
      <w:pPr>
        <w:jc w:val="both"/>
        <w:rPr>
          <w:sz w:val="24"/>
        </w:rPr>
      </w:pPr>
      <w:r w:rsidRPr="00931F31">
        <w:rPr>
          <w:sz w:val="24"/>
        </w:rPr>
        <w:t xml:space="preserve">Zakon o javnih financah v 4. točki 49. člena določa, da o uporabi sredstev te rezerve v posameznem primeru do višine, ki jo določa odlok o proračunu, odloča župan, v drugih pa s posebnim odlokom občinski svet. </w:t>
      </w:r>
      <w:r w:rsidR="009F4E47" w:rsidRPr="00931F31">
        <w:rPr>
          <w:sz w:val="24"/>
        </w:rPr>
        <w:t>Odlok na osnovi teh določil zakona določa pooblastilo županu za odločanje o posamezni uporabi sredstev do 20.000</w:t>
      </w:r>
      <w:r w:rsidR="00436E11" w:rsidRPr="00931F31">
        <w:rPr>
          <w:sz w:val="24"/>
        </w:rPr>
        <w:t>,00</w:t>
      </w:r>
      <w:r w:rsidR="009F4E47" w:rsidRPr="00931F31">
        <w:rPr>
          <w:sz w:val="24"/>
        </w:rPr>
        <w:t xml:space="preserve"> EUR.</w:t>
      </w:r>
    </w:p>
    <w:p w:rsidR="009231A0" w:rsidRPr="00931F31" w:rsidRDefault="009231A0" w:rsidP="009231A0">
      <w:pPr>
        <w:jc w:val="both"/>
        <w:rPr>
          <w:b/>
          <w:sz w:val="24"/>
        </w:rPr>
      </w:pPr>
    </w:p>
    <w:p w:rsidR="009231A0" w:rsidRPr="00931F31" w:rsidRDefault="009231A0" w:rsidP="009231A0">
      <w:pPr>
        <w:pStyle w:val="Telobesedila"/>
        <w:numPr>
          <w:ilvl w:val="0"/>
          <w:numId w:val="2"/>
        </w:numPr>
        <w:rPr>
          <w:b/>
        </w:rPr>
      </w:pPr>
      <w:r w:rsidRPr="00931F31">
        <w:rPr>
          <w:b/>
        </w:rPr>
        <w:t>člen</w:t>
      </w:r>
    </w:p>
    <w:p w:rsidR="009231A0" w:rsidRPr="00931F31" w:rsidRDefault="00810E85" w:rsidP="009231A0">
      <w:pPr>
        <w:pStyle w:val="Telobesedila"/>
      </w:pPr>
      <w:r w:rsidRPr="00931F31">
        <w:t>T</w:t>
      </w:r>
      <w:r w:rsidR="009231A0" w:rsidRPr="00931F31">
        <w:t xml:space="preserve">a člen določa pravico županu, </w:t>
      </w:r>
      <w:r w:rsidR="008313CB" w:rsidRPr="00931F31">
        <w:t xml:space="preserve">da </w:t>
      </w:r>
      <w:r w:rsidR="009231A0" w:rsidRPr="00931F31">
        <w:t xml:space="preserve">lahko odpiše plačilo dolga </w:t>
      </w:r>
      <w:r w:rsidR="008313CB" w:rsidRPr="00931F31">
        <w:t xml:space="preserve">do višine 400,00 EUR </w:t>
      </w:r>
      <w:r w:rsidR="009231A0" w:rsidRPr="00931F31">
        <w:t>(pravna podlaga: 77. člen ZJF).</w:t>
      </w:r>
    </w:p>
    <w:p w:rsidR="009231A0" w:rsidRPr="00931F31" w:rsidRDefault="009231A0" w:rsidP="009231A0">
      <w:pPr>
        <w:pStyle w:val="Telobesedila"/>
      </w:pPr>
    </w:p>
    <w:p w:rsidR="009231A0" w:rsidRPr="00931F31" w:rsidRDefault="009231A0" w:rsidP="009231A0">
      <w:pPr>
        <w:pStyle w:val="Telobesedila"/>
        <w:numPr>
          <w:ilvl w:val="0"/>
          <w:numId w:val="2"/>
        </w:numPr>
        <w:rPr>
          <w:b/>
        </w:rPr>
      </w:pPr>
      <w:r w:rsidRPr="00931F31">
        <w:rPr>
          <w:b/>
        </w:rPr>
        <w:t>člen</w:t>
      </w:r>
    </w:p>
    <w:p w:rsidR="009231A0" w:rsidRPr="00931F31" w:rsidRDefault="009231A0" w:rsidP="009231A0">
      <w:pPr>
        <w:pStyle w:val="Telobesedila"/>
      </w:pPr>
      <w:r w:rsidRPr="00931F31">
        <w:t>Občine se lahko dolgoročno zadolžujejo, posebnosti dolgoročnega zadolževanja pa so opredeljene v 85. členu ZJF in 10. členu Zakona o financiranju občin</w:t>
      </w:r>
      <w:r w:rsidR="00D2001E" w:rsidRPr="00931F31">
        <w:t xml:space="preserve"> – ZFO-1</w:t>
      </w:r>
      <w:r w:rsidRPr="00931F31">
        <w:t>, ki določata pogoje in obseg zadolževanja.</w:t>
      </w:r>
    </w:p>
    <w:p w:rsidR="00810E85" w:rsidRPr="00931F31" w:rsidRDefault="009231A0" w:rsidP="009231A0">
      <w:pPr>
        <w:pStyle w:val="Telobesedila"/>
      </w:pPr>
      <w:r w:rsidRPr="00931F31">
        <w:t>Občina Rogašovci se v letu 20</w:t>
      </w:r>
      <w:r w:rsidR="00931F31" w:rsidRPr="00931F31">
        <w:t>20</w:t>
      </w:r>
      <w:r w:rsidR="00A80E8C" w:rsidRPr="00931F31">
        <w:t xml:space="preserve"> </w:t>
      </w:r>
      <w:r w:rsidR="00BD3EDA" w:rsidRPr="00931F31">
        <w:t>lahko</w:t>
      </w:r>
      <w:r w:rsidR="00F26990" w:rsidRPr="00931F31">
        <w:t>,</w:t>
      </w:r>
      <w:r w:rsidR="00BD3EDA" w:rsidRPr="00931F31">
        <w:t xml:space="preserve"> </w:t>
      </w:r>
      <w:r w:rsidR="00F26990" w:rsidRPr="00931F31">
        <w:t xml:space="preserve">kot dodatno zadolževanje v proračunu države za sofinanciranje investicij, </w:t>
      </w:r>
      <w:r w:rsidR="00BD3EDA" w:rsidRPr="00931F31">
        <w:t xml:space="preserve">zadolži do višine </w:t>
      </w:r>
      <w:r w:rsidR="00CC5EC1" w:rsidRPr="00931F31">
        <w:t>1</w:t>
      </w:r>
      <w:r w:rsidR="00931F31" w:rsidRPr="00931F31">
        <w:t>04</w:t>
      </w:r>
      <w:r w:rsidR="00BD3EDA" w:rsidRPr="00931F31">
        <w:t>.</w:t>
      </w:r>
      <w:r w:rsidR="00184F5B">
        <w:t>399</w:t>
      </w:r>
      <w:r w:rsidR="00CC5EC1" w:rsidRPr="00931F31">
        <w:t>,00</w:t>
      </w:r>
      <w:r w:rsidR="00BD3EDA" w:rsidRPr="00931F31">
        <w:t xml:space="preserve"> EUR</w:t>
      </w:r>
      <w:r w:rsidR="00855B53" w:rsidRPr="00931F31">
        <w:t xml:space="preserve"> (</w:t>
      </w:r>
      <w:r w:rsidR="00CC5EC1" w:rsidRPr="00931F31">
        <w:t>10. člen Zakona o spremembah Zakona o financiranju občin (ZFO-1C)</w:t>
      </w:r>
      <w:r w:rsidR="00855B53" w:rsidRPr="00931F31">
        <w:t>.</w:t>
      </w:r>
    </w:p>
    <w:p w:rsidR="002E4F5D" w:rsidRPr="00931F31" w:rsidRDefault="002E4F5D" w:rsidP="009231A0">
      <w:pPr>
        <w:pStyle w:val="Telobesedila"/>
      </w:pPr>
    </w:p>
    <w:p w:rsidR="002E4F5D" w:rsidRPr="00931F31" w:rsidRDefault="002E4F5D" w:rsidP="002E4F5D">
      <w:pPr>
        <w:pStyle w:val="Telobesedila"/>
        <w:rPr>
          <w:b/>
        </w:rPr>
      </w:pPr>
      <w:r w:rsidRPr="00931F31">
        <w:rPr>
          <w:b/>
        </w:rPr>
        <w:t>12. člen</w:t>
      </w:r>
    </w:p>
    <w:p w:rsidR="009231A0" w:rsidRPr="00931F31" w:rsidRDefault="009231A0" w:rsidP="009231A0">
      <w:pPr>
        <w:pStyle w:val="Telobesedila"/>
      </w:pPr>
      <w:r w:rsidRPr="00931F31">
        <w:t>Hkrati se predlaga, da se javni zavodi in pravne osebe, v katerih ima občina prevladujoč vpliv, v letu 20</w:t>
      </w:r>
      <w:r w:rsidR="00931F31" w:rsidRPr="00931F31">
        <w:t>20</w:t>
      </w:r>
      <w:r w:rsidRPr="00931F31">
        <w:t xml:space="preserve"> ne zadolžujejo.</w:t>
      </w:r>
    </w:p>
    <w:p w:rsidR="002E4F5D" w:rsidRPr="00931F31" w:rsidRDefault="002E4F5D" w:rsidP="002E4F5D">
      <w:pPr>
        <w:pStyle w:val="Telobesedila"/>
        <w:rPr>
          <w:b/>
        </w:rPr>
      </w:pPr>
    </w:p>
    <w:p w:rsidR="009231A0" w:rsidRPr="00931F31" w:rsidRDefault="002E4F5D" w:rsidP="009231A0">
      <w:pPr>
        <w:pStyle w:val="Telobesedila"/>
        <w:rPr>
          <w:b/>
        </w:rPr>
      </w:pPr>
      <w:r w:rsidRPr="00931F31">
        <w:rPr>
          <w:b/>
        </w:rPr>
        <w:t>13. člen</w:t>
      </w:r>
    </w:p>
    <w:p w:rsidR="009231A0" w:rsidRPr="00931F31" w:rsidRDefault="009231A0" w:rsidP="009231A0">
      <w:pPr>
        <w:pStyle w:val="Telobesedila"/>
      </w:pPr>
      <w:r w:rsidRPr="00931F31">
        <w:t>Ta člen določa uporabo tega odloka v obdobju začasnega financiranja v letu 20</w:t>
      </w:r>
      <w:r w:rsidR="007712C0" w:rsidRPr="00931F31">
        <w:t>2</w:t>
      </w:r>
      <w:r w:rsidR="00931F31" w:rsidRPr="00931F31">
        <w:t>1</w:t>
      </w:r>
      <w:r w:rsidRPr="00931F31">
        <w:t>, če proračun z</w:t>
      </w:r>
      <w:r w:rsidR="00925171" w:rsidRPr="00931F31">
        <w:t>a leto 20</w:t>
      </w:r>
      <w:r w:rsidR="007712C0" w:rsidRPr="00931F31">
        <w:t>2</w:t>
      </w:r>
      <w:r w:rsidR="00931F31" w:rsidRPr="00931F31">
        <w:t>1</w:t>
      </w:r>
      <w:r w:rsidRPr="00931F31">
        <w:t xml:space="preserve"> ne bo pravočasno sprejet.</w:t>
      </w:r>
    </w:p>
    <w:p w:rsidR="009231A0" w:rsidRPr="00931F31" w:rsidRDefault="009231A0" w:rsidP="009231A0">
      <w:pPr>
        <w:pStyle w:val="Telobesedila"/>
      </w:pPr>
    </w:p>
    <w:p w:rsidR="009231A0" w:rsidRPr="00931F31" w:rsidRDefault="009231A0" w:rsidP="009231A0">
      <w:pPr>
        <w:pStyle w:val="Telobesedila"/>
        <w:rPr>
          <w:b/>
        </w:rPr>
      </w:pPr>
      <w:r w:rsidRPr="00931F31">
        <w:rPr>
          <w:b/>
        </w:rPr>
        <w:t>1</w:t>
      </w:r>
      <w:r w:rsidR="002E4F5D" w:rsidRPr="00931F31">
        <w:rPr>
          <w:b/>
        </w:rPr>
        <w:t>4</w:t>
      </w:r>
      <w:r w:rsidRPr="00931F31">
        <w:rPr>
          <w:b/>
        </w:rPr>
        <w:t>. člen</w:t>
      </w:r>
    </w:p>
    <w:p w:rsidR="009231A0" w:rsidRPr="00931F31" w:rsidRDefault="009231A0" w:rsidP="009231A0">
      <w:pPr>
        <w:pStyle w:val="Telobesedila"/>
      </w:pPr>
      <w:r w:rsidRPr="00931F31">
        <w:t xml:space="preserve">Z objavo proračuna občina zadosti načelu javnosti. Objavi </w:t>
      </w:r>
      <w:r w:rsidR="00897A25" w:rsidRPr="00931F31">
        <w:t>s</w:t>
      </w:r>
      <w:r w:rsidR="007712C0" w:rsidRPr="00931F31">
        <w:t>e v Uradnem glasilu slovenskih občin</w:t>
      </w:r>
      <w:r w:rsidRPr="00931F31">
        <w:t xml:space="preserve"> in začne veljati naslednji dan po objavi. </w:t>
      </w:r>
    </w:p>
    <w:p w:rsidR="00750742" w:rsidRPr="00931F31" w:rsidRDefault="00750742" w:rsidP="009231A0">
      <w:pPr>
        <w:pStyle w:val="Telobesedila"/>
      </w:pPr>
    </w:p>
    <w:p w:rsidR="007712C0" w:rsidRPr="00931F31" w:rsidRDefault="007712C0" w:rsidP="009231A0">
      <w:pPr>
        <w:pStyle w:val="Telobesedila"/>
      </w:pPr>
    </w:p>
    <w:sectPr w:rsidR="007712C0" w:rsidRPr="00931F31" w:rsidSect="007712C0">
      <w:pgSz w:w="11906" w:h="16838"/>
      <w:pgMar w:top="1276"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038C"/>
    <w:multiLevelType w:val="singleLevel"/>
    <w:tmpl w:val="0424000F"/>
    <w:lvl w:ilvl="0">
      <w:start w:val="1"/>
      <w:numFmt w:val="decimal"/>
      <w:lvlText w:val="%1."/>
      <w:lvlJc w:val="left"/>
      <w:pPr>
        <w:tabs>
          <w:tab w:val="num" w:pos="360"/>
        </w:tabs>
        <w:ind w:left="360" w:hanging="360"/>
      </w:pPr>
    </w:lvl>
  </w:abstractNum>
  <w:abstractNum w:abstractNumId="1">
    <w:nsid w:val="61596788"/>
    <w:multiLevelType w:val="multilevel"/>
    <w:tmpl w:val="81F63352"/>
    <w:lvl w:ilvl="0">
      <w:start w:val="1"/>
      <w:numFmt w:val="decimal"/>
      <w:pStyle w:val="Naslov1"/>
      <w:lvlText w:val="%1"/>
      <w:lvlJc w:val="left"/>
      <w:pPr>
        <w:tabs>
          <w:tab w:val="num" w:pos="432"/>
        </w:tabs>
        <w:ind w:left="432" w:hanging="432"/>
      </w:pPr>
      <w:rPr>
        <w:rFonts w:ascii="Times New Roman" w:hAnsi="Times New Roman" w:hint="default"/>
        <w:b/>
        <w:i w:val="0"/>
        <w:sz w:val="24"/>
      </w:rPr>
    </w:lvl>
    <w:lvl w:ilvl="1">
      <w:start w:val="1"/>
      <w:numFmt w:val="decimal"/>
      <w:pStyle w:val="Naslov2"/>
      <w:lvlText w:val="%1.%2"/>
      <w:lvlJc w:val="left"/>
      <w:pPr>
        <w:tabs>
          <w:tab w:val="num" w:pos="576"/>
        </w:tabs>
        <w:ind w:left="576" w:hanging="576"/>
      </w:pPr>
      <w:rPr>
        <w:b/>
        <w:i w:val="0"/>
        <w:sz w:val="24"/>
      </w:rPr>
    </w:lvl>
    <w:lvl w:ilvl="2">
      <w:start w:val="1"/>
      <w:numFmt w:val="decimal"/>
      <w:pStyle w:val="Naslov3"/>
      <w:lvlText w:val="%1.%2.%3"/>
      <w:lvlJc w:val="left"/>
      <w:pPr>
        <w:tabs>
          <w:tab w:val="num" w:pos="720"/>
        </w:tabs>
        <w:ind w:left="720" w:hanging="720"/>
      </w:pPr>
      <w:rPr>
        <w:rFonts w:ascii="Times New Roman" w:hAnsi="Times New Roman" w:hint="default"/>
        <w:b/>
        <w:i w:val="0"/>
        <w:sz w:val="24"/>
      </w:r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9231A0"/>
    <w:rsid w:val="00012B50"/>
    <w:rsid w:val="000371B7"/>
    <w:rsid w:val="00051401"/>
    <w:rsid w:val="0006567F"/>
    <w:rsid w:val="001408A4"/>
    <w:rsid w:val="001409B0"/>
    <w:rsid w:val="00173D27"/>
    <w:rsid w:val="00184F5B"/>
    <w:rsid w:val="00196D3D"/>
    <w:rsid w:val="001A1AFB"/>
    <w:rsid w:val="001A5F6E"/>
    <w:rsid w:val="001A78E1"/>
    <w:rsid w:val="001B51A3"/>
    <w:rsid w:val="00247481"/>
    <w:rsid w:val="002B7550"/>
    <w:rsid w:val="002D6A9E"/>
    <w:rsid w:val="002E4F5D"/>
    <w:rsid w:val="0035614B"/>
    <w:rsid w:val="003575E1"/>
    <w:rsid w:val="00383A30"/>
    <w:rsid w:val="003D0625"/>
    <w:rsid w:val="003F6C87"/>
    <w:rsid w:val="00427664"/>
    <w:rsid w:val="00432E6F"/>
    <w:rsid w:val="00436E11"/>
    <w:rsid w:val="004621E2"/>
    <w:rsid w:val="004B3972"/>
    <w:rsid w:val="004C2E04"/>
    <w:rsid w:val="00537345"/>
    <w:rsid w:val="0056076B"/>
    <w:rsid w:val="005674C6"/>
    <w:rsid w:val="00567A9B"/>
    <w:rsid w:val="005F215E"/>
    <w:rsid w:val="005F3781"/>
    <w:rsid w:val="006104E7"/>
    <w:rsid w:val="0061704C"/>
    <w:rsid w:val="00681102"/>
    <w:rsid w:val="006A5E60"/>
    <w:rsid w:val="00750742"/>
    <w:rsid w:val="00752BF5"/>
    <w:rsid w:val="007712C0"/>
    <w:rsid w:val="007C14F2"/>
    <w:rsid w:val="00810E85"/>
    <w:rsid w:val="00825748"/>
    <w:rsid w:val="008313CB"/>
    <w:rsid w:val="008328C2"/>
    <w:rsid w:val="0083631D"/>
    <w:rsid w:val="00855B53"/>
    <w:rsid w:val="00881373"/>
    <w:rsid w:val="0088676A"/>
    <w:rsid w:val="00897A25"/>
    <w:rsid w:val="008A16AA"/>
    <w:rsid w:val="008F5147"/>
    <w:rsid w:val="00921BBD"/>
    <w:rsid w:val="009231A0"/>
    <w:rsid w:val="00925171"/>
    <w:rsid w:val="00931F31"/>
    <w:rsid w:val="009712E6"/>
    <w:rsid w:val="00991FC5"/>
    <w:rsid w:val="009B55F0"/>
    <w:rsid w:val="009D5CAC"/>
    <w:rsid w:val="009F4E47"/>
    <w:rsid w:val="00A54171"/>
    <w:rsid w:val="00A74105"/>
    <w:rsid w:val="00A80E8C"/>
    <w:rsid w:val="00AA4641"/>
    <w:rsid w:val="00AA4EAE"/>
    <w:rsid w:val="00AA6F02"/>
    <w:rsid w:val="00AE7285"/>
    <w:rsid w:val="00B70129"/>
    <w:rsid w:val="00BB021F"/>
    <w:rsid w:val="00BD3EDA"/>
    <w:rsid w:val="00C57D8F"/>
    <w:rsid w:val="00CC5EC1"/>
    <w:rsid w:val="00D2001E"/>
    <w:rsid w:val="00D43FB9"/>
    <w:rsid w:val="00D4692A"/>
    <w:rsid w:val="00D50C9F"/>
    <w:rsid w:val="00D96B1E"/>
    <w:rsid w:val="00DC0C79"/>
    <w:rsid w:val="00E3066A"/>
    <w:rsid w:val="00E83CD5"/>
    <w:rsid w:val="00E93098"/>
    <w:rsid w:val="00F14390"/>
    <w:rsid w:val="00F26990"/>
    <w:rsid w:val="00F36EA4"/>
    <w:rsid w:val="00F529DE"/>
    <w:rsid w:val="00F77922"/>
    <w:rsid w:val="00F86C42"/>
    <w:rsid w:val="00FB7825"/>
    <w:rsid w:val="00FC70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31A0"/>
  </w:style>
  <w:style w:type="paragraph" w:styleId="Naslov1">
    <w:name w:val="heading 1"/>
    <w:basedOn w:val="Navaden"/>
    <w:next w:val="Navaden"/>
    <w:qFormat/>
    <w:rsid w:val="009231A0"/>
    <w:pPr>
      <w:keepNext/>
      <w:numPr>
        <w:numId w:val="1"/>
      </w:numPr>
      <w:outlineLvl w:val="0"/>
    </w:pPr>
    <w:rPr>
      <w:sz w:val="24"/>
    </w:rPr>
  </w:style>
  <w:style w:type="paragraph" w:styleId="Naslov2">
    <w:name w:val="heading 2"/>
    <w:basedOn w:val="Navaden"/>
    <w:next w:val="Navaden"/>
    <w:qFormat/>
    <w:rsid w:val="009231A0"/>
    <w:pPr>
      <w:keepNext/>
      <w:numPr>
        <w:ilvl w:val="1"/>
        <w:numId w:val="1"/>
      </w:numPr>
      <w:jc w:val="both"/>
      <w:outlineLvl w:val="1"/>
    </w:pPr>
    <w:rPr>
      <w:b/>
      <w:sz w:val="24"/>
    </w:rPr>
  </w:style>
  <w:style w:type="paragraph" w:styleId="Naslov3">
    <w:name w:val="heading 3"/>
    <w:basedOn w:val="Navaden"/>
    <w:next w:val="Navaden"/>
    <w:qFormat/>
    <w:rsid w:val="009231A0"/>
    <w:pPr>
      <w:keepNext/>
      <w:numPr>
        <w:ilvl w:val="2"/>
        <w:numId w:val="1"/>
      </w:numPr>
      <w:spacing w:before="240" w:after="60"/>
      <w:outlineLvl w:val="2"/>
    </w:pPr>
    <w:rPr>
      <w:sz w:val="24"/>
    </w:rPr>
  </w:style>
  <w:style w:type="paragraph" w:styleId="Naslov4">
    <w:name w:val="heading 4"/>
    <w:basedOn w:val="Navaden"/>
    <w:next w:val="Navaden"/>
    <w:qFormat/>
    <w:rsid w:val="009231A0"/>
    <w:pPr>
      <w:keepNext/>
      <w:numPr>
        <w:ilvl w:val="3"/>
        <w:numId w:val="1"/>
      </w:numPr>
      <w:outlineLvl w:val="3"/>
    </w:pPr>
    <w:rPr>
      <w:b/>
      <w:sz w:val="24"/>
    </w:rPr>
  </w:style>
  <w:style w:type="paragraph" w:styleId="Naslov5">
    <w:name w:val="heading 5"/>
    <w:basedOn w:val="Navaden"/>
    <w:next w:val="Navaden"/>
    <w:qFormat/>
    <w:rsid w:val="009231A0"/>
    <w:pPr>
      <w:numPr>
        <w:ilvl w:val="4"/>
        <w:numId w:val="1"/>
      </w:numPr>
      <w:spacing w:before="240" w:after="60"/>
      <w:outlineLvl w:val="4"/>
    </w:pPr>
    <w:rPr>
      <w:sz w:val="22"/>
    </w:rPr>
  </w:style>
  <w:style w:type="paragraph" w:styleId="Naslov6">
    <w:name w:val="heading 6"/>
    <w:basedOn w:val="Navaden"/>
    <w:next w:val="Navaden"/>
    <w:qFormat/>
    <w:rsid w:val="009231A0"/>
    <w:pPr>
      <w:numPr>
        <w:ilvl w:val="5"/>
        <w:numId w:val="1"/>
      </w:numPr>
      <w:spacing w:before="240" w:after="60"/>
      <w:outlineLvl w:val="5"/>
    </w:pPr>
    <w:rPr>
      <w:i/>
      <w:sz w:val="22"/>
    </w:rPr>
  </w:style>
  <w:style w:type="paragraph" w:styleId="Naslov7">
    <w:name w:val="heading 7"/>
    <w:basedOn w:val="Navaden"/>
    <w:next w:val="Navaden"/>
    <w:qFormat/>
    <w:rsid w:val="009231A0"/>
    <w:pPr>
      <w:numPr>
        <w:ilvl w:val="6"/>
        <w:numId w:val="1"/>
      </w:numPr>
      <w:spacing w:before="240" w:after="60"/>
      <w:outlineLvl w:val="6"/>
    </w:pPr>
    <w:rPr>
      <w:rFonts w:ascii="Arial" w:hAnsi="Arial"/>
    </w:rPr>
  </w:style>
  <w:style w:type="paragraph" w:styleId="Naslov8">
    <w:name w:val="heading 8"/>
    <w:basedOn w:val="Navaden"/>
    <w:next w:val="Navaden"/>
    <w:qFormat/>
    <w:rsid w:val="009231A0"/>
    <w:pPr>
      <w:numPr>
        <w:ilvl w:val="7"/>
        <w:numId w:val="1"/>
      </w:numPr>
      <w:spacing w:before="240" w:after="60"/>
      <w:outlineLvl w:val="7"/>
    </w:pPr>
    <w:rPr>
      <w:rFonts w:ascii="Arial" w:hAnsi="Arial"/>
      <w:i/>
    </w:rPr>
  </w:style>
  <w:style w:type="paragraph" w:styleId="Naslov9">
    <w:name w:val="heading 9"/>
    <w:basedOn w:val="Navaden"/>
    <w:next w:val="Navaden"/>
    <w:qFormat/>
    <w:rsid w:val="009231A0"/>
    <w:pPr>
      <w:numPr>
        <w:ilvl w:val="8"/>
        <w:numId w:val="1"/>
      </w:numPr>
      <w:spacing w:before="240" w:after="60"/>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9231A0"/>
    <w:pPr>
      <w:jc w:val="both"/>
    </w:pPr>
    <w:rPr>
      <w:sz w:val="24"/>
    </w:rPr>
  </w:style>
  <w:style w:type="paragraph" w:styleId="Telobesedila3">
    <w:name w:val="Body Text 3"/>
    <w:basedOn w:val="Navaden"/>
    <w:rsid w:val="009231A0"/>
    <w:rPr>
      <w:sz w:val="24"/>
    </w:rPr>
  </w:style>
  <w:style w:type="paragraph" w:styleId="Besedilooblaka">
    <w:name w:val="Balloon Text"/>
    <w:basedOn w:val="Navaden"/>
    <w:semiHidden/>
    <w:rsid w:val="00E30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63E35-EA63-4F01-B26D-6F5B22E1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OBRAZLOŽITVE ODLOKA O PRORAČUNU OBČINE ROGAŠOVCI za leto 2007</vt:lpstr>
    </vt:vector>
  </TitlesOfParts>
  <Company>Obcina Rogasovci</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ODLOKA O PRORAČUNU OBČINE ROGAŠOVCI za leto 2007</dc:title>
  <dc:creator>Dragica</dc:creator>
  <cp:lastModifiedBy>Dragica Tomovič</cp:lastModifiedBy>
  <cp:revision>2</cp:revision>
  <cp:lastPrinted>2016-12-05T15:34:00Z</cp:lastPrinted>
  <dcterms:created xsi:type="dcterms:W3CDTF">2020-01-27T07:29:00Z</dcterms:created>
  <dcterms:modified xsi:type="dcterms:W3CDTF">2020-01-27T07:29:00Z</dcterms:modified>
</cp:coreProperties>
</file>