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E9" w:rsidRPr="00650B03" w:rsidRDefault="005A01E9" w:rsidP="005A01E9">
      <w:pPr>
        <w:pStyle w:val="Telobesedila2"/>
        <w:tabs>
          <w:tab w:val="clear" w:pos="0"/>
        </w:tabs>
        <w:spacing w:line="240" w:lineRule="auto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>Občina Kamnik na podlagi 6. člena Pravilnika o dodeljevanju finančnih sredstev iz občinskega proračuna za spodbujanje izvajanja ukrepov učinkovite rabe energije in izrabe obnovljivih virov energije v gospodinjstvih na območju občine Kamnik (Ur. list RS, št. 68/2003, 34/2004 in 31/2008) objavlja</w:t>
      </w:r>
    </w:p>
    <w:p w:rsidR="005A01E9" w:rsidRPr="00650B03" w:rsidRDefault="005A01E9" w:rsidP="005A01E9">
      <w:pPr>
        <w:jc w:val="both"/>
        <w:rPr>
          <w:rFonts w:ascii="Arial" w:hAnsi="Arial" w:cs="Arial"/>
          <w:sz w:val="23"/>
          <w:szCs w:val="23"/>
        </w:rPr>
      </w:pPr>
    </w:p>
    <w:p w:rsidR="005A01E9" w:rsidRPr="00650B03" w:rsidRDefault="005A01E9" w:rsidP="005A01E9">
      <w:pPr>
        <w:jc w:val="center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>SKLEP O RAZPISU</w:t>
      </w:r>
    </w:p>
    <w:p w:rsidR="005A01E9" w:rsidRPr="00650B03" w:rsidRDefault="005A01E9" w:rsidP="005A01E9">
      <w:pPr>
        <w:pStyle w:val="Telobesedila3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>za dodelitev sredstev občinskega proračuna za spodbujanje izvajanja ukrepov učinkovite rabe energije in izrabe obnovljivih virov energije v letu 201</w:t>
      </w:r>
      <w:r w:rsidR="001F3DBC">
        <w:rPr>
          <w:rFonts w:ascii="Arial" w:hAnsi="Arial" w:cs="Arial"/>
          <w:sz w:val="23"/>
          <w:szCs w:val="23"/>
        </w:rPr>
        <w:t>4</w:t>
      </w:r>
    </w:p>
    <w:p w:rsidR="00650B03" w:rsidRPr="00650B03" w:rsidRDefault="00650B03" w:rsidP="005A01E9">
      <w:pPr>
        <w:jc w:val="both"/>
        <w:rPr>
          <w:rFonts w:ascii="Arial" w:hAnsi="Arial" w:cs="Arial"/>
          <w:sz w:val="23"/>
          <w:szCs w:val="23"/>
        </w:rPr>
      </w:pPr>
    </w:p>
    <w:p w:rsidR="005A01E9" w:rsidRPr="00650B03" w:rsidRDefault="005A01E9" w:rsidP="005A01E9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>Namen razpisa:</w:t>
      </w:r>
    </w:p>
    <w:p w:rsidR="005A01E9" w:rsidRPr="00650B03" w:rsidRDefault="005A01E9" w:rsidP="005A01E9">
      <w:pPr>
        <w:pStyle w:val="Telobesedila2"/>
        <w:spacing w:line="240" w:lineRule="auto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>Občina Kamnik v letu 201</w:t>
      </w:r>
      <w:r w:rsidR="001F3DBC">
        <w:rPr>
          <w:rFonts w:ascii="Arial" w:hAnsi="Arial" w:cs="Arial"/>
          <w:sz w:val="23"/>
          <w:szCs w:val="23"/>
        </w:rPr>
        <w:t>4</w:t>
      </w:r>
      <w:r w:rsidRPr="00650B03">
        <w:rPr>
          <w:rFonts w:ascii="Arial" w:hAnsi="Arial" w:cs="Arial"/>
          <w:sz w:val="23"/>
          <w:szCs w:val="23"/>
        </w:rPr>
        <w:t xml:space="preserve"> v obliki nepovratnih sredstev finančno spodbuja izvedbo investicijskih ukrepov za izrabo obnovljivih virov energije ter vgradnjo energijsko učinkovitih kotlov</w:t>
      </w:r>
      <w:r w:rsidR="00E74AF8">
        <w:rPr>
          <w:rFonts w:ascii="Arial" w:hAnsi="Arial" w:cs="Arial"/>
          <w:sz w:val="23"/>
          <w:szCs w:val="23"/>
        </w:rPr>
        <w:t xml:space="preserve"> in toplotne izolacije fasade</w:t>
      </w:r>
      <w:r w:rsidRPr="00650B03">
        <w:rPr>
          <w:rFonts w:ascii="Arial" w:hAnsi="Arial" w:cs="Arial"/>
          <w:sz w:val="23"/>
          <w:szCs w:val="23"/>
        </w:rPr>
        <w:t xml:space="preserve"> v gospodinjstvih. Nepovratna sredstva se bodo dodeljevala za naslednje ukrepe:</w:t>
      </w:r>
    </w:p>
    <w:p w:rsidR="005A01E9" w:rsidRPr="00CD2013" w:rsidRDefault="005A01E9" w:rsidP="005A01E9">
      <w:pPr>
        <w:numPr>
          <w:ilvl w:val="0"/>
          <w:numId w:val="2"/>
        </w:numPr>
        <w:tabs>
          <w:tab w:val="clear" w:pos="1095"/>
          <w:tab w:val="num" w:pos="426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vgradnja solarnih sistemov za ogrevanje sanitarne vode in podporo ogrevanju,</w:t>
      </w:r>
    </w:p>
    <w:p w:rsidR="005A01E9" w:rsidRPr="00CD2013" w:rsidRDefault="005A01E9" w:rsidP="005A01E9">
      <w:pPr>
        <w:numPr>
          <w:ilvl w:val="0"/>
          <w:numId w:val="2"/>
        </w:numPr>
        <w:tabs>
          <w:tab w:val="clear" w:pos="1095"/>
          <w:tab w:val="num" w:pos="426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vgradnja specialnih kurilnih naprav za centr</w:t>
      </w:r>
      <w:r w:rsidR="00067B2F" w:rsidRPr="00CD2013">
        <w:rPr>
          <w:rFonts w:ascii="Arial" w:hAnsi="Arial" w:cs="Arial"/>
          <w:sz w:val="23"/>
          <w:szCs w:val="23"/>
        </w:rPr>
        <w:t>alno ogrevanje na lesno biomaso,</w:t>
      </w:r>
    </w:p>
    <w:p w:rsidR="00067B2F" w:rsidRPr="00CD2013" w:rsidRDefault="0058158B" w:rsidP="005A01E9">
      <w:pPr>
        <w:numPr>
          <w:ilvl w:val="0"/>
          <w:numId w:val="2"/>
        </w:numPr>
        <w:tabs>
          <w:tab w:val="clear" w:pos="1095"/>
          <w:tab w:val="num" w:pos="426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2"/>
          <w:szCs w:val="22"/>
        </w:rPr>
        <w:t xml:space="preserve">vgradnja </w:t>
      </w:r>
      <w:r w:rsidR="00067B2F" w:rsidRPr="00CD2013">
        <w:rPr>
          <w:rFonts w:ascii="Arial" w:hAnsi="Arial" w:cs="Arial"/>
          <w:sz w:val="22"/>
          <w:szCs w:val="22"/>
        </w:rPr>
        <w:t>toplotn</w:t>
      </w:r>
      <w:r w:rsidRPr="00CD2013">
        <w:rPr>
          <w:rFonts w:ascii="Arial" w:hAnsi="Arial" w:cs="Arial"/>
          <w:sz w:val="22"/>
          <w:szCs w:val="22"/>
        </w:rPr>
        <w:t>e izolacije</w:t>
      </w:r>
      <w:r w:rsidR="00067B2F" w:rsidRPr="00CD2013">
        <w:rPr>
          <w:rFonts w:ascii="Arial" w:hAnsi="Arial" w:cs="Arial"/>
          <w:sz w:val="22"/>
          <w:szCs w:val="22"/>
        </w:rPr>
        <w:t xml:space="preserve"> fasade starejših eno ali dvostanovanjskih stavb.</w:t>
      </w:r>
    </w:p>
    <w:p w:rsidR="005A01E9" w:rsidRPr="00CD2013" w:rsidRDefault="005A01E9" w:rsidP="005A01E9">
      <w:pPr>
        <w:tabs>
          <w:tab w:val="num" w:pos="0"/>
        </w:tabs>
        <w:ind w:left="360"/>
        <w:jc w:val="both"/>
        <w:rPr>
          <w:rFonts w:ascii="Arial" w:hAnsi="Arial" w:cs="Arial"/>
          <w:sz w:val="23"/>
          <w:szCs w:val="23"/>
        </w:rPr>
      </w:pPr>
    </w:p>
    <w:p w:rsidR="005A01E9" w:rsidRPr="00CD2013" w:rsidRDefault="005A01E9" w:rsidP="005A01E9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Višina razpisanih sredstev:  </w:t>
      </w:r>
      <w:r w:rsidR="001F3DBC" w:rsidRPr="00CD2013">
        <w:rPr>
          <w:rFonts w:ascii="Arial" w:hAnsi="Arial" w:cs="Arial"/>
          <w:sz w:val="23"/>
          <w:szCs w:val="23"/>
        </w:rPr>
        <w:t>35</w:t>
      </w:r>
      <w:r w:rsidRPr="00CD2013">
        <w:rPr>
          <w:rFonts w:ascii="Arial" w:hAnsi="Arial" w:cs="Arial"/>
          <w:sz w:val="23"/>
          <w:szCs w:val="23"/>
        </w:rPr>
        <w:t>.</w:t>
      </w:r>
      <w:r w:rsidR="001F3DBC" w:rsidRPr="00CD2013">
        <w:rPr>
          <w:rFonts w:ascii="Arial" w:hAnsi="Arial" w:cs="Arial"/>
          <w:sz w:val="23"/>
          <w:szCs w:val="23"/>
        </w:rPr>
        <w:t>0</w:t>
      </w:r>
      <w:r w:rsidRPr="00CD2013">
        <w:rPr>
          <w:rFonts w:ascii="Arial" w:hAnsi="Arial" w:cs="Arial"/>
          <w:sz w:val="23"/>
          <w:szCs w:val="23"/>
        </w:rPr>
        <w:t xml:space="preserve">00,00 </w:t>
      </w:r>
      <w:r w:rsidR="001F3DBC" w:rsidRPr="00CD2013">
        <w:rPr>
          <w:rFonts w:ascii="Arial" w:hAnsi="Arial" w:cs="Arial"/>
          <w:sz w:val="23"/>
          <w:szCs w:val="23"/>
        </w:rPr>
        <w:t>EUR</w:t>
      </w:r>
      <w:r w:rsidRPr="00CD2013">
        <w:rPr>
          <w:rFonts w:ascii="Arial" w:hAnsi="Arial" w:cs="Arial"/>
          <w:sz w:val="23"/>
          <w:szCs w:val="23"/>
        </w:rPr>
        <w:t xml:space="preserve">. 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</w:p>
    <w:p w:rsidR="005A01E9" w:rsidRPr="00CD2013" w:rsidRDefault="005A01E9" w:rsidP="005A01E9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Upravičenci: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Za pridobitev sredstev lahko zaprosijo občani, ki imajo stalno prebivališče v občini Kamnik in:</w:t>
      </w:r>
    </w:p>
    <w:p w:rsidR="005A01E9" w:rsidRPr="00CD2013" w:rsidRDefault="005A01E9" w:rsidP="005A01E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so lastniki oziroma solastniki stanovanjskih objektov,</w:t>
      </w:r>
    </w:p>
    <w:p w:rsidR="005A01E9" w:rsidRPr="00CD2013" w:rsidRDefault="005A01E9" w:rsidP="005A01E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so najemniki stanovanjskih objektov, ki imajo z lastnikom objekta sklenjeno dolgoročno najemno pogodbo o sovlaganjih v objekt ali ustrezno soglasje lastnika stanovanjskega objekta k izvedbi predvidenih ukrepov oziroma investicije v sisteme za izrabo obnovljivih virov energije.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</w:p>
    <w:p w:rsidR="005A01E9" w:rsidRPr="00CD2013" w:rsidRDefault="005A01E9" w:rsidP="005A01E9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Pogoji za pridobitev sredstev:</w:t>
      </w:r>
    </w:p>
    <w:p w:rsidR="005A01E9" w:rsidRPr="00CD2013" w:rsidRDefault="005A01E9" w:rsidP="005A01E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Objekti, na katerih se izvajajo posegi iz 1. točke, morajo biti locirani na območju občine Kamnik in namenjeni stanovanjski rabi</w:t>
      </w:r>
      <w:r w:rsidRPr="00CD2013">
        <w:rPr>
          <w:rFonts w:ascii="Arial" w:hAnsi="Arial" w:cs="Arial"/>
          <w:i/>
          <w:sz w:val="23"/>
          <w:szCs w:val="23"/>
        </w:rPr>
        <w:t>.</w:t>
      </w:r>
    </w:p>
    <w:p w:rsidR="005A01E9" w:rsidRPr="00CD2013" w:rsidRDefault="005A01E9" w:rsidP="005A01E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Objekti morajo biti zgrajeni v skladu z veljavnim dovoljenjem za gradnjo. </w:t>
      </w:r>
    </w:p>
    <w:p w:rsidR="005A01E9" w:rsidRPr="00CD2013" w:rsidRDefault="005A01E9" w:rsidP="005A01E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Investicija ne sme biti začeta pred 1. januarjem 201</w:t>
      </w:r>
      <w:r w:rsidR="001F3DBC" w:rsidRPr="00CD2013">
        <w:rPr>
          <w:rFonts w:ascii="Arial" w:hAnsi="Arial" w:cs="Arial"/>
          <w:sz w:val="23"/>
          <w:szCs w:val="23"/>
        </w:rPr>
        <w:t>3</w:t>
      </w:r>
      <w:r w:rsidRPr="00CD2013">
        <w:rPr>
          <w:rFonts w:ascii="Arial" w:hAnsi="Arial" w:cs="Arial"/>
          <w:sz w:val="23"/>
          <w:szCs w:val="23"/>
        </w:rPr>
        <w:t>, končana pa</w:t>
      </w:r>
      <w:r w:rsidR="001F3DBC" w:rsidRPr="00CD2013">
        <w:rPr>
          <w:rFonts w:ascii="Arial" w:hAnsi="Arial" w:cs="Arial"/>
          <w:sz w:val="23"/>
          <w:szCs w:val="23"/>
        </w:rPr>
        <w:t xml:space="preserve"> mora biti po 25. septembru 2013</w:t>
      </w:r>
      <w:r w:rsidRPr="00CD2013">
        <w:rPr>
          <w:rFonts w:ascii="Arial" w:hAnsi="Arial" w:cs="Arial"/>
          <w:sz w:val="23"/>
          <w:szCs w:val="23"/>
        </w:rPr>
        <w:t xml:space="preserve"> (dokazilo je datum izdanega računa).</w:t>
      </w:r>
    </w:p>
    <w:p w:rsidR="005A01E9" w:rsidRPr="00CD2013" w:rsidRDefault="005A01E9" w:rsidP="005A01E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Sredstva se ne bodo dodeljevala za obnovo obstoječih naprav.</w:t>
      </w:r>
    </w:p>
    <w:p w:rsidR="00945DE3" w:rsidRPr="00CD2013" w:rsidRDefault="00945DE3" w:rsidP="005A01E9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Sredstva se bodo dodeljevala le za vgrajeno opremo in sisteme, ki so na </w:t>
      </w:r>
      <w:r w:rsidR="00743976" w:rsidRPr="00CD2013">
        <w:rPr>
          <w:rFonts w:ascii="Arial" w:hAnsi="Arial" w:cs="Arial"/>
          <w:sz w:val="23"/>
          <w:szCs w:val="23"/>
        </w:rPr>
        <w:t>seznamu, ki je objavljen na sple</w:t>
      </w:r>
      <w:r w:rsidRPr="00CD2013">
        <w:rPr>
          <w:rFonts w:ascii="Arial" w:hAnsi="Arial" w:cs="Arial"/>
          <w:sz w:val="23"/>
          <w:szCs w:val="23"/>
        </w:rPr>
        <w:t xml:space="preserve">tni strani </w:t>
      </w:r>
      <w:proofErr w:type="spellStart"/>
      <w:r w:rsidRPr="00CD2013">
        <w:rPr>
          <w:rFonts w:ascii="Arial" w:hAnsi="Arial" w:cs="Arial"/>
          <w:sz w:val="23"/>
          <w:szCs w:val="23"/>
        </w:rPr>
        <w:t>www.ekosklad</w:t>
      </w:r>
      <w:r w:rsidR="00743976" w:rsidRPr="00CD2013">
        <w:rPr>
          <w:rFonts w:ascii="Arial" w:hAnsi="Arial" w:cs="Arial"/>
          <w:sz w:val="23"/>
          <w:szCs w:val="23"/>
        </w:rPr>
        <w:t>.si</w:t>
      </w:r>
      <w:proofErr w:type="spellEnd"/>
      <w:r w:rsidR="00743976" w:rsidRPr="00CD2013">
        <w:rPr>
          <w:rFonts w:ascii="Arial" w:hAnsi="Arial" w:cs="Arial"/>
          <w:sz w:val="23"/>
          <w:szCs w:val="23"/>
        </w:rPr>
        <w:t xml:space="preserve"> v rubriki Razpisi/Javni poziv 24SUB-OB14/Ustrezna oprema in podatki.</w:t>
      </w:r>
      <w:r w:rsidR="00C673CA" w:rsidRPr="00CD2013">
        <w:rPr>
          <w:rFonts w:ascii="Arial" w:hAnsi="Arial" w:cs="Arial"/>
          <w:sz w:val="23"/>
          <w:szCs w:val="23"/>
        </w:rPr>
        <w:t xml:space="preserve"> </w:t>
      </w:r>
      <w:r w:rsidRPr="00CD2013">
        <w:rPr>
          <w:rFonts w:ascii="Arial" w:hAnsi="Arial" w:cs="Arial"/>
          <w:sz w:val="23"/>
          <w:szCs w:val="23"/>
        </w:rPr>
        <w:t xml:space="preserve"> 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</w:p>
    <w:p w:rsidR="005A01E9" w:rsidRPr="00CD2013" w:rsidRDefault="005A01E9" w:rsidP="005A01E9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Vloga za dodelitev sredstev: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Vloga mora biti oddana na predpisanem obrazcu, ki je sestavni del razpisne dokumentacije.  Izpolnjena mora biti v skladu z navodili v razpisni dokumentaciji, priložena ji morajo biti vsa zahtevana dokazila. Na računu mora biti posebej navedena cena naprav in posebej stroški vgradnje naprav. </w:t>
      </w:r>
    </w:p>
    <w:p w:rsidR="005A01E9" w:rsidRPr="00CD2013" w:rsidRDefault="005A01E9" w:rsidP="005A01E9">
      <w:pPr>
        <w:pStyle w:val="Telobesedila2"/>
        <w:spacing w:line="240" w:lineRule="auto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Vlogo mora prosilec v zaprti ovojnici oddati v sprejemno-informacijski pisarni Občine Kamnik ali poslati po pošti. V eni ovojnici je lahko samo ena vloga. Na desni strani ovojnice mora biti napisan naslov: Občina Kamnik, Glavni trg 24, 1240 Kamnik. V levem </w:t>
      </w:r>
      <w:r w:rsidRPr="00CD2013">
        <w:rPr>
          <w:rFonts w:ascii="Arial" w:hAnsi="Arial" w:cs="Arial"/>
          <w:sz w:val="23"/>
          <w:szCs w:val="23"/>
        </w:rPr>
        <w:lastRenderedPageBreak/>
        <w:t xml:space="preserve">spodnjem kotu ovojnice mora biti pripis "Vloga URE - Ne odpiraj!". V levem zgornjem kotu ovojnice mora biti naveden polni naslov prosilca. </w:t>
      </w:r>
    </w:p>
    <w:p w:rsidR="005A01E9" w:rsidRPr="00CD2013" w:rsidRDefault="005A01E9" w:rsidP="005A01E9">
      <w:pPr>
        <w:pStyle w:val="Telobesedila"/>
        <w:tabs>
          <w:tab w:val="num" w:pos="0"/>
        </w:tabs>
        <w:rPr>
          <w:rFonts w:ascii="Arial" w:hAnsi="Arial" w:cs="Arial"/>
          <w:i w:val="0"/>
          <w:iCs w:val="0"/>
          <w:sz w:val="23"/>
          <w:szCs w:val="23"/>
        </w:rPr>
      </w:pPr>
      <w:r w:rsidRPr="00CD2013">
        <w:rPr>
          <w:rFonts w:ascii="Arial" w:hAnsi="Arial" w:cs="Arial"/>
          <w:i w:val="0"/>
          <w:iCs w:val="0"/>
          <w:sz w:val="23"/>
          <w:szCs w:val="23"/>
        </w:rPr>
        <w:t>Neustrezno dostavljene ali nepopolno oz. nepravilno označene vloge ne bodo obravnavane in bodo vrnjene vlagateljem.</w:t>
      </w:r>
    </w:p>
    <w:p w:rsidR="005A01E9" w:rsidRPr="00CD2013" w:rsidRDefault="005A01E9" w:rsidP="005A01E9">
      <w:pPr>
        <w:pStyle w:val="Telobesedila2"/>
        <w:spacing w:line="240" w:lineRule="auto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Ob vložitvi vloge</w:t>
      </w:r>
      <w:r w:rsidR="00895791" w:rsidRPr="00CD2013">
        <w:rPr>
          <w:rFonts w:ascii="Arial" w:hAnsi="Arial" w:cs="Arial"/>
          <w:sz w:val="23"/>
          <w:szCs w:val="23"/>
        </w:rPr>
        <w:t xml:space="preserve"> v sprejemno-informacijski pisarni Občine Kamnik</w:t>
      </w:r>
      <w:r w:rsidRPr="00CD2013">
        <w:rPr>
          <w:rFonts w:ascii="Arial" w:hAnsi="Arial" w:cs="Arial"/>
          <w:sz w:val="23"/>
          <w:szCs w:val="23"/>
        </w:rPr>
        <w:t xml:space="preserve"> so prosilci dolžni plačati upravno takso v višini 4,54 € za vlogo, v skladu s tarifno številko 1 taksne tarife Zakona o upravnih taksah (ZUT-UPB5) (Ur. list RS, št. 106/2010). </w:t>
      </w:r>
      <w:r w:rsidR="001E6E00" w:rsidRPr="00CD2013">
        <w:rPr>
          <w:rFonts w:ascii="Arial" w:hAnsi="Arial" w:cs="Arial"/>
          <w:sz w:val="23"/>
          <w:szCs w:val="23"/>
        </w:rPr>
        <w:t xml:space="preserve">V kolikor prosilec vlogo pošlje po pošti, mora vlogi priložiti potrdilo o plačilu upravne takse v </w:t>
      </w:r>
      <w:r w:rsidR="00895791" w:rsidRPr="00CD2013">
        <w:rPr>
          <w:rFonts w:ascii="Arial" w:hAnsi="Arial" w:cs="Arial"/>
          <w:sz w:val="23"/>
          <w:szCs w:val="23"/>
        </w:rPr>
        <w:t>višini 4,54 €</w:t>
      </w:r>
      <w:r w:rsidR="001E6E00" w:rsidRPr="00CD2013">
        <w:rPr>
          <w:rFonts w:ascii="Arial" w:hAnsi="Arial" w:cs="Arial"/>
          <w:sz w:val="23"/>
          <w:szCs w:val="23"/>
        </w:rPr>
        <w:t xml:space="preserve">. V primeru plačila na transakcijski račun, se taksa nakaže na račun št. </w:t>
      </w:r>
      <w:r w:rsidR="001E6E00" w:rsidRPr="00CD2013">
        <w:rPr>
          <w:rFonts w:ascii="Arial" w:hAnsi="Arial" w:cs="Arial"/>
          <w:bCs/>
          <w:sz w:val="23"/>
          <w:szCs w:val="23"/>
        </w:rPr>
        <w:t>01243-4430309140 (UPR. TAKSE IZ UPRAV. DEJANJ-OBČ</w:t>
      </w:r>
      <w:r w:rsidR="001E6E00" w:rsidRPr="00CD2013">
        <w:rPr>
          <w:rFonts w:ascii="Arial" w:hAnsi="Arial" w:cs="Arial"/>
          <w:sz w:val="23"/>
          <w:szCs w:val="23"/>
        </w:rPr>
        <w:t>.)</w:t>
      </w:r>
      <w:r w:rsidR="001E6E00" w:rsidRPr="00CD2013">
        <w:rPr>
          <w:rFonts w:ascii="Arial" w:hAnsi="Arial" w:cs="Arial"/>
          <w:bCs/>
          <w:sz w:val="23"/>
          <w:szCs w:val="23"/>
        </w:rPr>
        <w:t>, sklic 11 75426 – 7111002, koda namena:</w:t>
      </w:r>
      <w:r w:rsidR="00895791" w:rsidRPr="00CD2013">
        <w:rPr>
          <w:rFonts w:ascii="Arial" w:hAnsi="Arial" w:cs="Arial"/>
          <w:bCs/>
          <w:sz w:val="23"/>
          <w:szCs w:val="23"/>
        </w:rPr>
        <w:t xml:space="preserve"> </w:t>
      </w:r>
      <w:r w:rsidR="001E6E00" w:rsidRPr="00CD2013">
        <w:rPr>
          <w:rFonts w:ascii="Arial" w:hAnsi="Arial" w:cs="Arial"/>
          <w:bCs/>
          <w:sz w:val="23"/>
          <w:szCs w:val="23"/>
        </w:rPr>
        <w:t>OTHR.</w:t>
      </w:r>
    </w:p>
    <w:p w:rsidR="005A01E9" w:rsidRPr="00CD2013" w:rsidRDefault="005A01E9" w:rsidP="005A01E9">
      <w:pPr>
        <w:pStyle w:val="Telobesedila"/>
        <w:tabs>
          <w:tab w:val="num" w:pos="0"/>
        </w:tabs>
        <w:rPr>
          <w:rFonts w:ascii="Arial" w:hAnsi="Arial" w:cs="Arial"/>
          <w:i w:val="0"/>
          <w:iCs w:val="0"/>
          <w:sz w:val="23"/>
          <w:szCs w:val="23"/>
        </w:rPr>
      </w:pPr>
      <w:r w:rsidRPr="00CD2013">
        <w:rPr>
          <w:rFonts w:ascii="Arial" w:hAnsi="Arial" w:cs="Arial"/>
          <w:i w:val="0"/>
          <w:iCs w:val="0"/>
          <w:sz w:val="23"/>
          <w:szCs w:val="23"/>
        </w:rPr>
        <w:t>Rok za predložitev vlog je 2</w:t>
      </w:r>
      <w:r w:rsidR="001F3DBC" w:rsidRPr="00CD2013">
        <w:rPr>
          <w:rFonts w:ascii="Arial" w:hAnsi="Arial" w:cs="Arial"/>
          <w:i w:val="0"/>
          <w:iCs w:val="0"/>
          <w:sz w:val="23"/>
          <w:szCs w:val="23"/>
        </w:rPr>
        <w:t>4</w:t>
      </w:r>
      <w:r w:rsidRPr="00CD2013">
        <w:rPr>
          <w:rFonts w:ascii="Arial" w:hAnsi="Arial" w:cs="Arial"/>
          <w:i w:val="0"/>
          <w:iCs w:val="0"/>
          <w:sz w:val="23"/>
          <w:szCs w:val="23"/>
        </w:rPr>
        <w:t>. 9. 201</w:t>
      </w:r>
      <w:r w:rsidR="001F3DBC" w:rsidRPr="00CD2013">
        <w:rPr>
          <w:rFonts w:ascii="Arial" w:hAnsi="Arial" w:cs="Arial"/>
          <w:i w:val="0"/>
          <w:iCs w:val="0"/>
          <w:sz w:val="23"/>
          <w:szCs w:val="23"/>
        </w:rPr>
        <w:t>4</w:t>
      </w:r>
      <w:r w:rsidRPr="00CD2013">
        <w:rPr>
          <w:rFonts w:ascii="Arial" w:hAnsi="Arial" w:cs="Arial"/>
          <w:i w:val="0"/>
          <w:iCs w:val="0"/>
          <w:sz w:val="23"/>
          <w:szCs w:val="23"/>
        </w:rPr>
        <w:t>. Obravnavane bodo vloge, ki bodo na Občino Kamnik prispele do datuma za predložitev do 12. ure. Nepovratna sredstva se bodo dodeljevala do porabe sredstev po zaporedju predloženih popolnih vlog.</w:t>
      </w:r>
    </w:p>
    <w:p w:rsidR="005A01E9" w:rsidRPr="00CD2013" w:rsidRDefault="005A01E9" w:rsidP="005A01E9">
      <w:pPr>
        <w:pStyle w:val="Telobesedila"/>
        <w:tabs>
          <w:tab w:val="num" w:pos="0"/>
        </w:tabs>
        <w:rPr>
          <w:rFonts w:ascii="Arial" w:hAnsi="Arial" w:cs="Arial"/>
          <w:i w:val="0"/>
          <w:iCs w:val="0"/>
          <w:sz w:val="23"/>
          <w:szCs w:val="23"/>
        </w:rPr>
      </w:pPr>
    </w:p>
    <w:p w:rsidR="005A01E9" w:rsidRPr="00CD2013" w:rsidRDefault="005A01E9" w:rsidP="005A01E9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Merila in postopek za dodelitev sredstev: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Višina nepovratnih sredstev za posamezen ukrep je naslednja:</w:t>
      </w:r>
    </w:p>
    <w:p w:rsidR="005A01E9" w:rsidRPr="00CD2013" w:rsidRDefault="005A01E9" w:rsidP="005A01E9">
      <w:pPr>
        <w:numPr>
          <w:ilvl w:val="0"/>
          <w:numId w:val="5"/>
        </w:numPr>
        <w:tabs>
          <w:tab w:val="clear" w:pos="990"/>
          <w:tab w:val="num" w:pos="426"/>
        </w:tabs>
        <w:ind w:left="426" w:hanging="426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vgradnja solarnih sistemov za ogrevanje sanitarne vode in podporo ogrevanju: največ 120,00 €/m</w:t>
      </w:r>
      <w:r w:rsidRPr="00CD2013">
        <w:rPr>
          <w:rFonts w:ascii="Arial" w:hAnsi="Arial" w:cs="Arial"/>
          <w:sz w:val="23"/>
          <w:szCs w:val="23"/>
          <w:vertAlign w:val="superscript"/>
        </w:rPr>
        <w:t xml:space="preserve">2 </w:t>
      </w:r>
      <w:r w:rsidRPr="00CD2013">
        <w:rPr>
          <w:rFonts w:ascii="Arial" w:hAnsi="Arial" w:cs="Arial"/>
          <w:sz w:val="23"/>
          <w:szCs w:val="23"/>
        </w:rPr>
        <w:t>efektivne površine sprejemnika, vendar največ za 12,00 m</w:t>
      </w:r>
      <w:r w:rsidRPr="00CD2013">
        <w:rPr>
          <w:rFonts w:ascii="Arial" w:hAnsi="Arial" w:cs="Arial"/>
          <w:sz w:val="23"/>
          <w:szCs w:val="23"/>
          <w:vertAlign w:val="superscript"/>
        </w:rPr>
        <w:t>2</w:t>
      </w:r>
      <w:r w:rsidRPr="00CD2013">
        <w:rPr>
          <w:rFonts w:ascii="Arial" w:hAnsi="Arial" w:cs="Arial"/>
          <w:sz w:val="23"/>
          <w:szCs w:val="23"/>
        </w:rPr>
        <w:t xml:space="preserve"> sprejemnikov sončne energije,</w:t>
      </w:r>
    </w:p>
    <w:p w:rsidR="005A01E9" w:rsidRPr="00CD2013" w:rsidRDefault="005A01E9" w:rsidP="005A01E9">
      <w:pPr>
        <w:pStyle w:val="Telobesedila2"/>
        <w:numPr>
          <w:ilvl w:val="0"/>
          <w:numId w:val="5"/>
        </w:numPr>
        <w:tabs>
          <w:tab w:val="clear" w:pos="990"/>
          <w:tab w:val="num" w:pos="426"/>
        </w:tabs>
        <w:spacing w:line="240" w:lineRule="auto"/>
        <w:ind w:left="426" w:hanging="426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vgradnja specialnih kurilnih naprav za centralno ogrevanje na lesno biomaso: do 20% cene kurilne naprave, vendar največ 1.800,00 €. Kurilne naprave morajo imeti naslednje tehnične karakteristike:</w:t>
      </w:r>
    </w:p>
    <w:p w:rsidR="005A01E9" w:rsidRPr="00CD2013" w:rsidRDefault="005A01E9" w:rsidP="005A01E9">
      <w:pPr>
        <w:pStyle w:val="Telobesedila2"/>
        <w:numPr>
          <w:ilvl w:val="1"/>
          <w:numId w:val="5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nominalni izkoristek mora biti večji ali enak 90%,</w:t>
      </w:r>
    </w:p>
    <w:p w:rsidR="005A01E9" w:rsidRPr="00CD2013" w:rsidRDefault="005A01E9" w:rsidP="005A01E9">
      <w:pPr>
        <w:pStyle w:val="Odstavekseznama"/>
        <w:numPr>
          <w:ilvl w:val="1"/>
          <w:numId w:val="5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vrednost emisij celotnega prahu mora biti manjša od 50 mg/m</w:t>
      </w:r>
      <w:r w:rsidRPr="00CD2013">
        <w:rPr>
          <w:rFonts w:ascii="Arial" w:hAnsi="Arial" w:cs="Arial"/>
          <w:sz w:val="23"/>
          <w:szCs w:val="23"/>
          <w:vertAlign w:val="superscript"/>
        </w:rPr>
        <w:t>3</w:t>
      </w:r>
      <w:r w:rsidRPr="00CD2013">
        <w:rPr>
          <w:rFonts w:ascii="Arial" w:hAnsi="Arial" w:cs="Arial"/>
          <w:sz w:val="23"/>
          <w:szCs w:val="23"/>
        </w:rPr>
        <w:t>, vrednost emisij ogljikovega monoksida pa manjša od 750 mg/m</w:t>
      </w:r>
      <w:r w:rsidRPr="00CD2013">
        <w:rPr>
          <w:rFonts w:ascii="Arial" w:hAnsi="Arial" w:cs="Arial"/>
          <w:sz w:val="23"/>
          <w:szCs w:val="23"/>
          <w:vertAlign w:val="superscript"/>
        </w:rPr>
        <w:t>3</w:t>
      </w:r>
      <w:r w:rsidRPr="00CD2013">
        <w:rPr>
          <w:rFonts w:ascii="TimesNewRomanPSMT" w:hAnsi="TimesNewRomanPSMT" w:cs="TimesNewRomanPSMT"/>
          <w:sz w:val="23"/>
          <w:szCs w:val="23"/>
        </w:rPr>
        <w:t>(</w:t>
      </w:r>
      <w:r w:rsidRPr="00CD2013">
        <w:rPr>
          <w:rFonts w:ascii="Arial" w:hAnsi="Arial" w:cs="Arial"/>
          <w:sz w:val="23"/>
          <w:szCs w:val="23"/>
        </w:rPr>
        <w:t xml:space="preserve">emisije določene pri </w:t>
      </w:r>
      <w:proofErr w:type="spellStart"/>
      <w:r w:rsidRPr="00CD2013">
        <w:rPr>
          <w:rFonts w:ascii="Arial" w:hAnsi="Arial" w:cs="Arial"/>
          <w:sz w:val="23"/>
          <w:szCs w:val="23"/>
        </w:rPr>
        <w:t>normni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 temperaturi 273 K in tlaku 101,3 </w:t>
      </w:r>
      <w:proofErr w:type="spellStart"/>
      <w:r w:rsidRPr="00CD2013">
        <w:rPr>
          <w:rFonts w:ascii="Arial" w:hAnsi="Arial" w:cs="Arial"/>
          <w:sz w:val="23"/>
          <w:szCs w:val="23"/>
        </w:rPr>
        <w:t>kPa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 ter računski vsebnosti kisika 13 % v suhih dimnih plinih)</w:t>
      </w:r>
    </w:p>
    <w:p w:rsidR="005A01E9" w:rsidRPr="00CD2013" w:rsidRDefault="005A01E9" w:rsidP="005A01E9">
      <w:pPr>
        <w:pStyle w:val="Odstavekseznama"/>
        <w:numPr>
          <w:ilvl w:val="0"/>
          <w:numId w:val="6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kurilne naprave z ročnim polnjenjem goriva (polena) morajo imeti </w:t>
      </w:r>
      <w:proofErr w:type="spellStart"/>
      <w:r w:rsidRPr="00CD2013">
        <w:rPr>
          <w:rFonts w:ascii="Arial" w:hAnsi="Arial" w:cs="Arial"/>
          <w:sz w:val="23"/>
          <w:szCs w:val="23"/>
        </w:rPr>
        <w:t>prigrajen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 vodni toplotni zbiralnik s prostornino najmanj 55 l/ </w:t>
      </w:r>
      <w:proofErr w:type="spellStart"/>
      <w:r w:rsidRPr="00CD2013">
        <w:rPr>
          <w:rFonts w:ascii="Arial" w:hAnsi="Arial" w:cs="Arial"/>
          <w:sz w:val="23"/>
          <w:szCs w:val="23"/>
        </w:rPr>
        <w:t>kW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 nazivne toplotne moči naprave, </w:t>
      </w:r>
    </w:p>
    <w:p w:rsidR="005A01E9" w:rsidRPr="00CD2013" w:rsidRDefault="005A01E9" w:rsidP="005A01E9">
      <w:pPr>
        <w:pStyle w:val="Telobesedila2"/>
        <w:numPr>
          <w:ilvl w:val="1"/>
          <w:numId w:val="5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kurilne naprave z avtomatskim polnjenjem goriva (</w:t>
      </w:r>
      <w:proofErr w:type="spellStart"/>
      <w:r w:rsidRPr="00CD2013">
        <w:rPr>
          <w:rFonts w:ascii="Arial" w:hAnsi="Arial" w:cs="Arial"/>
          <w:sz w:val="23"/>
          <w:szCs w:val="23"/>
        </w:rPr>
        <w:t>peleti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, sekanci) morajo imeti </w:t>
      </w:r>
      <w:proofErr w:type="spellStart"/>
      <w:r w:rsidRPr="00CD2013">
        <w:rPr>
          <w:rFonts w:ascii="Arial" w:hAnsi="Arial" w:cs="Arial"/>
          <w:sz w:val="23"/>
          <w:szCs w:val="23"/>
        </w:rPr>
        <w:t>prigrajen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 vodni toplotni zbiral</w:t>
      </w:r>
      <w:r w:rsidR="00C241D8" w:rsidRPr="00CD2013">
        <w:rPr>
          <w:rFonts w:ascii="Arial" w:hAnsi="Arial" w:cs="Arial"/>
          <w:sz w:val="23"/>
          <w:szCs w:val="23"/>
        </w:rPr>
        <w:t>nik s prostornino najmanj 20 l/</w:t>
      </w:r>
      <w:proofErr w:type="spellStart"/>
      <w:r w:rsidRPr="00CD2013">
        <w:rPr>
          <w:rFonts w:ascii="Arial" w:hAnsi="Arial" w:cs="Arial"/>
          <w:sz w:val="23"/>
          <w:szCs w:val="23"/>
        </w:rPr>
        <w:t>kW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 nazivne toplotne moči naprave, </w:t>
      </w:r>
    </w:p>
    <w:p w:rsidR="005A01E9" w:rsidRPr="00CD2013" w:rsidRDefault="005A01E9" w:rsidP="005A01E9">
      <w:pPr>
        <w:pStyle w:val="Telobesedila2"/>
        <w:numPr>
          <w:ilvl w:val="1"/>
          <w:numId w:val="5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kurilnim napravam z avtomatskim polnjenjem goriva - </w:t>
      </w:r>
      <w:proofErr w:type="spellStart"/>
      <w:r w:rsidRPr="00CD2013">
        <w:rPr>
          <w:rFonts w:ascii="Arial" w:hAnsi="Arial" w:cs="Arial"/>
          <w:sz w:val="23"/>
          <w:szCs w:val="23"/>
        </w:rPr>
        <w:t>peleti</w:t>
      </w:r>
      <w:proofErr w:type="spellEnd"/>
      <w:r w:rsidRPr="00CD2013">
        <w:rPr>
          <w:rFonts w:ascii="Arial" w:hAnsi="Arial" w:cs="Arial"/>
          <w:sz w:val="23"/>
          <w:szCs w:val="23"/>
        </w:rPr>
        <w:t>, ki imajo možnost regulacije moči in če kurilna naprava dosega vrednosti emisij snovi v zrak skladno z zahtevami tega razpisa tudi pri najmanjši nastavljiv</w:t>
      </w:r>
      <w:r w:rsidR="00C241D8" w:rsidRPr="00CD2013">
        <w:rPr>
          <w:rFonts w:ascii="Arial" w:hAnsi="Arial" w:cs="Arial"/>
          <w:sz w:val="23"/>
          <w:szCs w:val="23"/>
        </w:rPr>
        <w:t>i moči kurilne naprave, določeni</w:t>
      </w:r>
      <w:r w:rsidRPr="00CD2013">
        <w:rPr>
          <w:rFonts w:ascii="Arial" w:hAnsi="Arial" w:cs="Arial"/>
          <w:sz w:val="23"/>
          <w:szCs w:val="23"/>
        </w:rPr>
        <w:t xml:space="preserve"> po standardu SIST EN 303-5, ni potrebno </w:t>
      </w:r>
      <w:proofErr w:type="spellStart"/>
      <w:r w:rsidRPr="00CD2013">
        <w:rPr>
          <w:rFonts w:ascii="Arial" w:hAnsi="Arial" w:cs="Arial"/>
          <w:sz w:val="23"/>
          <w:szCs w:val="23"/>
        </w:rPr>
        <w:t>prigradit</w:t>
      </w:r>
      <w:r w:rsidR="00212D61" w:rsidRPr="00CD2013">
        <w:rPr>
          <w:rFonts w:ascii="Arial" w:hAnsi="Arial" w:cs="Arial"/>
          <w:sz w:val="23"/>
          <w:szCs w:val="23"/>
        </w:rPr>
        <w:t>i</w:t>
      </w:r>
      <w:proofErr w:type="spellEnd"/>
      <w:r w:rsidR="00212D61" w:rsidRPr="00CD2013">
        <w:rPr>
          <w:rFonts w:ascii="Arial" w:hAnsi="Arial" w:cs="Arial"/>
          <w:sz w:val="23"/>
          <w:szCs w:val="23"/>
        </w:rPr>
        <w:t xml:space="preserve"> vodnega toplotnega zbiralnika.</w:t>
      </w:r>
    </w:p>
    <w:p w:rsidR="00067B2F" w:rsidRPr="00CD2013" w:rsidRDefault="005A01E9" w:rsidP="00A17607">
      <w:pPr>
        <w:pStyle w:val="Telobesedila2"/>
        <w:tabs>
          <w:tab w:val="clear" w:pos="0"/>
        </w:tabs>
        <w:spacing w:line="240" w:lineRule="auto"/>
        <w:ind w:left="426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Gorilniki na </w:t>
      </w:r>
      <w:proofErr w:type="spellStart"/>
      <w:r w:rsidRPr="00CD2013">
        <w:rPr>
          <w:rFonts w:ascii="Arial" w:hAnsi="Arial" w:cs="Arial"/>
          <w:sz w:val="23"/>
          <w:szCs w:val="23"/>
        </w:rPr>
        <w:t>pelete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, ki so </w:t>
      </w:r>
      <w:proofErr w:type="spellStart"/>
      <w:r w:rsidRPr="00CD2013">
        <w:rPr>
          <w:rFonts w:ascii="Arial" w:hAnsi="Arial" w:cs="Arial"/>
          <w:sz w:val="23"/>
          <w:szCs w:val="23"/>
        </w:rPr>
        <w:t>prigrajeni</w:t>
      </w:r>
      <w:proofErr w:type="spellEnd"/>
      <w:r w:rsidRPr="00CD2013">
        <w:rPr>
          <w:rFonts w:ascii="Arial" w:hAnsi="Arial" w:cs="Arial"/>
          <w:sz w:val="23"/>
          <w:szCs w:val="23"/>
        </w:rPr>
        <w:t xml:space="preserve"> obstoječim kurilnim napravam na kurilno olje oz. trdna goriva starejše izvedbe, niso predmet tega razpisa oz. ne spadajo med ukrepe, za katere se bodo po tem razpisu dodeljevala nepovratna sredstva.</w:t>
      </w:r>
    </w:p>
    <w:p w:rsidR="0058158B" w:rsidRPr="00CD2013" w:rsidRDefault="0058158B" w:rsidP="0058158B">
      <w:pPr>
        <w:pStyle w:val="Telobesedila2"/>
        <w:numPr>
          <w:ilvl w:val="0"/>
          <w:numId w:val="5"/>
        </w:numPr>
        <w:tabs>
          <w:tab w:val="clear" w:pos="990"/>
          <w:tab w:val="num" w:pos="426"/>
        </w:tabs>
        <w:spacing w:line="240" w:lineRule="auto"/>
        <w:ind w:left="426" w:hanging="426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CD2013">
        <w:rPr>
          <w:rFonts w:ascii="Arial" w:hAnsi="Arial" w:cs="Arial"/>
          <w:sz w:val="22"/>
          <w:szCs w:val="22"/>
        </w:rPr>
        <w:t xml:space="preserve">vgradnja toplotne izolacije fasade </w:t>
      </w:r>
      <w:r w:rsidR="00067B2F" w:rsidRPr="00CD2013">
        <w:rPr>
          <w:rFonts w:ascii="Arial" w:hAnsi="Arial" w:cs="Arial"/>
          <w:sz w:val="22"/>
          <w:szCs w:val="22"/>
        </w:rPr>
        <w:t>starejših eno ali dvostanovanjskih stavb</w:t>
      </w:r>
      <w:r w:rsidR="00A17607" w:rsidRPr="00CD2013">
        <w:rPr>
          <w:rFonts w:ascii="Arial" w:hAnsi="Arial" w:cs="Arial"/>
          <w:sz w:val="22"/>
          <w:szCs w:val="22"/>
        </w:rPr>
        <w:t>: do 10% stroškov</w:t>
      </w:r>
      <w:r w:rsidR="009E160B" w:rsidRPr="00CD2013">
        <w:rPr>
          <w:rFonts w:ascii="Arial" w:hAnsi="Arial" w:cs="Arial"/>
          <w:sz w:val="22"/>
          <w:szCs w:val="22"/>
        </w:rPr>
        <w:t xml:space="preserve"> nakupa toplotne izolacije fasade (brez cokla)</w:t>
      </w:r>
      <w:r w:rsidR="00A17607" w:rsidRPr="00CD2013">
        <w:rPr>
          <w:rFonts w:ascii="Arial" w:hAnsi="Arial" w:cs="Arial"/>
          <w:sz w:val="22"/>
          <w:szCs w:val="22"/>
        </w:rPr>
        <w:t>, vendar ne več kot</w:t>
      </w:r>
      <w:r w:rsidR="007B52C1" w:rsidRPr="00CD2013">
        <w:rPr>
          <w:rFonts w:ascii="Arial" w:hAnsi="Arial" w:cs="Arial"/>
          <w:sz w:val="22"/>
          <w:szCs w:val="22"/>
        </w:rPr>
        <w:t xml:space="preserve"> 5,00</w:t>
      </w:r>
      <w:r w:rsidR="00A17607" w:rsidRPr="00CD2013">
        <w:rPr>
          <w:rFonts w:ascii="Arial" w:hAnsi="Arial" w:cs="Arial"/>
          <w:sz w:val="22"/>
          <w:szCs w:val="22"/>
        </w:rPr>
        <w:t xml:space="preserve"> €/m</w:t>
      </w:r>
      <w:r w:rsidR="00A17607" w:rsidRPr="00CD2013">
        <w:rPr>
          <w:rFonts w:ascii="Arial" w:hAnsi="Arial" w:cs="Arial"/>
          <w:sz w:val="22"/>
          <w:szCs w:val="22"/>
          <w:vertAlign w:val="superscript"/>
        </w:rPr>
        <w:t>2</w:t>
      </w:r>
      <w:r w:rsidR="00A17607" w:rsidRPr="00CD2013">
        <w:rPr>
          <w:rFonts w:ascii="Arial" w:hAnsi="Arial" w:cs="Arial"/>
          <w:sz w:val="22"/>
          <w:szCs w:val="22"/>
        </w:rPr>
        <w:t xml:space="preserve"> za največ 200 m</w:t>
      </w:r>
      <w:r w:rsidR="00A17607" w:rsidRPr="00CD201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A17607" w:rsidRPr="00CD2013">
        <w:rPr>
          <w:rFonts w:ascii="Arial" w:hAnsi="Arial" w:cs="Arial"/>
          <w:sz w:val="22"/>
          <w:szCs w:val="22"/>
        </w:rPr>
        <w:t xml:space="preserve">toplotne izolacije fasade </w:t>
      </w:r>
      <w:r w:rsidR="007B52C1" w:rsidRPr="00CD2013">
        <w:rPr>
          <w:rFonts w:ascii="Arial" w:hAnsi="Arial" w:cs="Arial"/>
          <w:sz w:val="22"/>
          <w:szCs w:val="22"/>
        </w:rPr>
        <w:t xml:space="preserve">(brez cokla) </w:t>
      </w:r>
      <w:r w:rsidR="00A17607" w:rsidRPr="00CD2013">
        <w:rPr>
          <w:rFonts w:ascii="Arial" w:hAnsi="Arial" w:cs="Arial"/>
          <w:sz w:val="22"/>
          <w:szCs w:val="22"/>
        </w:rPr>
        <w:t>enostanovanjske stavbe in za največ 150 m</w:t>
      </w:r>
      <w:r w:rsidR="00A17607" w:rsidRPr="00CD2013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A17607" w:rsidRPr="00CD2013">
        <w:rPr>
          <w:rFonts w:ascii="Arial" w:hAnsi="Arial" w:cs="Arial"/>
          <w:sz w:val="22"/>
          <w:szCs w:val="22"/>
        </w:rPr>
        <w:t>toplotne izolacije fasade</w:t>
      </w:r>
      <w:r w:rsidR="007B52C1" w:rsidRPr="00CD2013">
        <w:rPr>
          <w:rFonts w:ascii="Arial" w:hAnsi="Arial" w:cs="Arial"/>
          <w:sz w:val="22"/>
          <w:szCs w:val="22"/>
        </w:rPr>
        <w:t xml:space="preserve"> (brez cokla)</w:t>
      </w:r>
      <w:r w:rsidR="00A17607" w:rsidRPr="00CD2013">
        <w:rPr>
          <w:rFonts w:ascii="Arial" w:hAnsi="Arial" w:cs="Arial"/>
          <w:sz w:val="22"/>
          <w:szCs w:val="22"/>
        </w:rPr>
        <w:t xml:space="preserve"> na posamezno stanovanje pri dvostanovanjski stavbi</w:t>
      </w:r>
      <w:r w:rsidRPr="00CD2013">
        <w:rPr>
          <w:rFonts w:ascii="Arial" w:hAnsi="Arial" w:cs="Arial"/>
          <w:sz w:val="22"/>
          <w:szCs w:val="22"/>
        </w:rPr>
        <w:t>. Toplotna izolacija mora ustrezati naslednjim zahtevam:</w:t>
      </w:r>
    </w:p>
    <w:p w:rsidR="00067B2F" w:rsidRPr="00CD2013" w:rsidRDefault="0058158B" w:rsidP="0058158B">
      <w:pPr>
        <w:pStyle w:val="Telobesedila2"/>
        <w:numPr>
          <w:ilvl w:val="1"/>
          <w:numId w:val="5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debelina</w:t>
      </w:r>
      <w:r w:rsidR="00CD2EE6" w:rsidRPr="00CD2013">
        <w:rPr>
          <w:rFonts w:ascii="Arial" w:hAnsi="Arial" w:cs="Arial"/>
          <w:sz w:val="23"/>
          <w:szCs w:val="23"/>
        </w:rPr>
        <w:t xml:space="preserve"> vgrajene</w:t>
      </w:r>
      <w:r w:rsidRPr="00CD2013">
        <w:rPr>
          <w:rFonts w:ascii="Arial" w:hAnsi="Arial" w:cs="Arial"/>
          <w:sz w:val="23"/>
          <w:szCs w:val="23"/>
        </w:rPr>
        <w:t xml:space="preserve"> toplotne izolacije</w:t>
      </w:r>
      <w:r w:rsidR="008A7B3E" w:rsidRPr="00CD2013">
        <w:rPr>
          <w:rFonts w:ascii="Arial" w:hAnsi="Arial" w:cs="Arial"/>
          <w:sz w:val="23"/>
          <w:szCs w:val="23"/>
        </w:rPr>
        <w:t xml:space="preserve"> (d)</w:t>
      </w:r>
      <w:r w:rsidR="00CD2EE6" w:rsidRPr="00CD2013">
        <w:rPr>
          <w:rFonts w:ascii="Arial" w:hAnsi="Arial" w:cs="Arial"/>
          <w:sz w:val="23"/>
          <w:szCs w:val="23"/>
        </w:rPr>
        <w:t xml:space="preserve"> mora biti</w:t>
      </w:r>
      <w:r w:rsidRPr="00CD2013">
        <w:rPr>
          <w:rFonts w:ascii="Arial" w:hAnsi="Arial" w:cs="Arial"/>
          <w:sz w:val="23"/>
          <w:szCs w:val="23"/>
        </w:rPr>
        <w:t xml:space="preserve"> najmanj 15</w:t>
      </w:r>
      <w:r w:rsidR="00CD2EE6" w:rsidRPr="00CD2013">
        <w:rPr>
          <w:rFonts w:ascii="Arial" w:hAnsi="Arial" w:cs="Arial"/>
          <w:sz w:val="23"/>
          <w:szCs w:val="23"/>
        </w:rPr>
        <w:t xml:space="preserve"> cm</w:t>
      </w:r>
      <w:r w:rsidRPr="00CD2013">
        <w:rPr>
          <w:rFonts w:ascii="Arial" w:hAnsi="Arial" w:cs="Arial"/>
          <w:sz w:val="23"/>
          <w:szCs w:val="23"/>
        </w:rPr>
        <w:t>,</w:t>
      </w:r>
    </w:p>
    <w:p w:rsidR="00CD2EE6" w:rsidRPr="00CD2013" w:rsidRDefault="00CD2EE6" w:rsidP="005A01E9">
      <w:pPr>
        <w:pStyle w:val="Telobesedila2"/>
        <w:numPr>
          <w:ilvl w:val="1"/>
          <w:numId w:val="5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toplotna prevodnost toplotne izolacije (</w:t>
      </w:r>
      <w:r w:rsidRPr="00CD2013">
        <w:rPr>
          <w:rFonts w:ascii="Arial" w:hAnsi="Arial" w:cs="Arial"/>
          <w:sz w:val="23"/>
          <w:szCs w:val="23"/>
        </w:rPr>
        <w:sym w:font="Symbol" w:char="F06C"/>
      </w:r>
      <w:r w:rsidRPr="00CD2013">
        <w:rPr>
          <w:rFonts w:ascii="Arial" w:hAnsi="Arial" w:cs="Arial"/>
          <w:sz w:val="23"/>
          <w:szCs w:val="23"/>
        </w:rPr>
        <w:t>) mora biti manjša ali enaka 0,045 W/</w:t>
      </w:r>
      <w:proofErr w:type="spellStart"/>
      <w:r w:rsidRPr="00CD2013">
        <w:rPr>
          <w:rFonts w:ascii="Arial" w:hAnsi="Arial" w:cs="Arial"/>
          <w:sz w:val="23"/>
          <w:szCs w:val="23"/>
        </w:rPr>
        <w:t>mK</w:t>
      </w:r>
      <w:proofErr w:type="spellEnd"/>
      <w:r w:rsidRPr="00CD2013">
        <w:rPr>
          <w:rFonts w:ascii="Arial" w:hAnsi="Arial" w:cs="Arial"/>
          <w:sz w:val="23"/>
          <w:szCs w:val="23"/>
        </w:rPr>
        <w:t>,</w:t>
      </w:r>
    </w:p>
    <w:p w:rsidR="008A7B3E" w:rsidRPr="00CD2013" w:rsidRDefault="008A7B3E" w:rsidP="008A7B3E">
      <w:pPr>
        <w:pStyle w:val="Telobesedila2"/>
        <w:numPr>
          <w:ilvl w:val="1"/>
          <w:numId w:val="5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debelina toplotne izolacije fasadnega sistema je lahko tudi manjša, če je izkazano razmerje </w:t>
      </w:r>
      <w:r w:rsidRPr="00CD2013">
        <w:rPr>
          <w:rFonts w:ascii="Arial" w:hAnsi="Arial" w:cs="Arial"/>
          <w:sz w:val="23"/>
          <w:szCs w:val="23"/>
        </w:rPr>
        <w:sym w:font="Symbol" w:char="F06C"/>
      </w:r>
      <w:r w:rsidRPr="00CD2013">
        <w:rPr>
          <w:rFonts w:ascii="Arial" w:hAnsi="Arial" w:cs="Arial"/>
          <w:sz w:val="23"/>
          <w:szCs w:val="23"/>
        </w:rPr>
        <w:t>/d ≤ 0,30W/</w:t>
      </w:r>
      <w:r w:rsidRPr="00CD2013">
        <w:rPr>
          <w:rFonts w:ascii="Arial" w:hAnsi="Arial" w:cs="Arial"/>
          <w:sz w:val="22"/>
          <w:szCs w:val="22"/>
        </w:rPr>
        <w:t>m</w:t>
      </w:r>
      <w:r w:rsidRPr="00CD2013">
        <w:rPr>
          <w:rFonts w:ascii="Arial" w:hAnsi="Arial" w:cs="Arial"/>
          <w:sz w:val="22"/>
          <w:szCs w:val="22"/>
          <w:vertAlign w:val="superscript"/>
        </w:rPr>
        <w:t>2</w:t>
      </w:r>
      <w:r w:rsidRPr="00CD2013">
        <w:rPr>
          <w:rFonts w:ascii="Arial" w:hAnsi="Arial" w:cs="Arial"/>
          <w:sz w:val="22"/>
          <w:szCs w:val="22"/>
        </w:rPr>
        <w:t>K,</w:t>
      </w:r>
    </w:p>
    <w:p w:rsidR="00067B2F" w:rsidRPr="00CD2013" w:rsidRDefault="00BF62B8" w:rsidP="005A01E9">
      <w:pPr>
        <w:pStyle w:val="Telobesedila2"/>
        <w:numPr>
          <w:ilvl w:val="1"/>
          <w:numId w:val="5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lastRenderedPageBreak/>
        <w:t xml:space="preserve">razmerje </w:t>
      </w:r>
      <w:r w:rsidRPr="00CD2013">
        <w:rPr>
          <w:rFonts w:ascii="Arial" w:hAnsi="Arial" w:cs="Arial"/>
          <w:sz w:val="23"/>
          <w:szCs w:val="23"/>
        </w:rPr>
        <w:sym w:font="Symbol" w:char="F06C"/>
      </w:r>
      <w:r w:rsidRPr="00CD2013">
        <w:rPr>
          <w:rFonts w:ascii="Arial" w:hAnsi="Arial" w:cs="Arial"/>
          <w:sz w:val="23"/>
          <w:szCs w:val="23"/>
        </w:rPr>
        <w:t>/d ≤ 0,30W/</w:t>
      </w:r>
      <w:r w:rsidRPr="00CD2013">
        <w:rPr>
          <w:rFonts w:ascii="Arial" w:hAnsi="Arial" w:cs="Arial"/>
          <w:sz w:val="22"/>
          <w:szCs w:val="22"/>
        </w:rPr>
        <w:t>m</w:t>
      </w:r>
      <w:r w:rsidRPr="00CD2013">
        <w:rPr>
          <w:rFonts w:ascii="Arial" w:hAnsi="Arial" w:cs="Arial"/>
          <w:sz w:val="22"/>
          <w:szCs w:val="22"/>
          <w:vertAlign w:val="superscript"/>
        </w:rPr>
        <w:t>2</w:t>
      </w:r>
      <w:r w:rsidRPr="00CD2013">
        <w:rPr>
          <w:rFonts w:ascii="Arial" w:hAnsi="Arial" w:cs="Arial"/>
          <w:sz w:val="22"/>
          <w:szCs w:val="22"/>
        </w:rPr>
        <w:t xml:space="preserve">K mora biti izkazano tudi v primeru fasadnih sistemov s toplotno izolacijo iz naravnih materialov, ne glede na vrednost toplotne prevodnosti </w:t>
      </w:r>
      <w:r w:rsidRPr="00CD2013">
        <w:rPr>
          <w:rFonts w:ascii="Arial" w:hAnsi="Arial" w:cs="Arial"/>
          <w:sz w:val="23"/>
          <w:szCs w:val="23"/>
        </w:rPr>
        <w:t>(</w:t>
      </w:r>
      <w:r w:rsidRPr="00CD2013">
        <w:rPr>
          <w:rFonts w:ascii="Arial" w:hAnsi="Arial" w:cs="Arial"/>
          <w:sz w:val="23"/>
          <w:szCs w:val="23"/>
        </w:rPr>
        <w:sym w:font="Symbol" w:char="F06C"/>
      </w:r>
      <w:r w:rsidRPr="00CD2013">
        <w:rPr>
          <w:rFonts w:ascii="Arial" w:hAnsi="Arial" w:cs="Arial"/>
          <w:sz w:val="23"/>
          <w:szCs w:val="23"/>
        </w:rPr>
        <w:t>).</w:t>
      </w:r>
    </w:p>
    <w:p w:rsidR="00877181" w:rsidRPr="00CD2013" w:rsidRDefault="00BF62B8" w:rsidP="00877181">
      <w:pPr>
        <w:pStyle w:val="Telobesedila2"/>
        <w:tabs>
          <w:tab w:val="clear" w:pos="0"/>
        </w:tabs>
        <w:spacing w:line="240" w:lineRule="auto"/>
        <w:ind w:left="426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V primeru, da je na stavbi že vgrajen fasadni sistem s toplotno izolacijo</w:t>
      </w:r>
      <w:r w:rsidR="00877181" w:rsidRPr="00CD2013">
        <w:rPr>
          <w:rFonts w:ascii="Arial" w:hAnsi="Arial" w:cs="Arial"/>
          <w:sz w:val="23"/>
          <w:szCs w:val="23"/>
        </w:rPr>
        <w:t>, katere toplotna prevodnost znaša največ 0,045 W/</w:t>
      </w:r>
      <w:proofErr w:type="spellStart"/>
      <w:r w:rsidR="00877181" w:rsidRPr="00CD2013">
        <w:rPr>
          <w:rFonts w:ascii="Arial" w:hAnsi="Arial" w:cs="Arial"/>
          <w:sz w:val="23"/>
          <w:szCs w:val="23"/>
        </w:rPr>
        <w:t>mK</w:t>
      </w:r>
      <w:proofErr w:type="spellEnd"/>
      <w:r w:rsidR="00877181" w:rsidRPr="00CD2013">
        <w:rPr>
          <w:rFonts w:ascii="Arial" w:hAnsi="Arial" w:cs="Arial"/>
          <w:sz w:val="23"/>
          <w:szCs w:val="23"/>
        </w:rPr>
        <w:t xml:space="preserve">, lahko vlagatelj po tem razpisu pridobi nepovratna sredstva za vgrajeno dodatno toplotno izolacijo v razliki do najmanj 15 cm izolacijskega materiala. Predložiti mora fotografije, posnete z merilnim trakom, iz katerih bo jasno razvidna debelina že vgrajenega izolacijskega materiala. </w:t>
      </w:r>
    </w:p>
    <w:p w:rsidR="00F43576" w:rsidRPr="00CD2013" w:rsidRDefault="00F43576" w:rsidP="00877181">
      <w:pPr>
        <w:pStyle w:val="Telobesedila2"/>
        <w:tabs>
          <w:tab w:val="clear" w:pos="0"/>
        </w:tabs>
        <w:spacing w:line="240" w:lineRule="auto"/>
        <w:ind w:left="426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Pogoji za vgradnjo toplotne izolacije fasade morajo biti izpolnjeni na vseh straneh fasade stavbe, v nasprotnem primeru </w:t>
      </w:r>
      <w:r w:rsidR="009E160B" w:rsidRPr="00CD2013">
        <w:rPr>
          <w:rFonts w:ascii="Arial" w:hAnsi="Arial" w:cs="Arial"/>
          <w:sz w:val="23"/>
          <w:szCs w:val="23"/>
        </w:rPr>
        <w:t>ne bodo dodeljena</w:t>
      </w:r>
      <w:r w:rsidRPr="00CD2013">
        <w:rPr>
          <w:rFonts w:ascii="Arial" w:hAnsi="Arial" w:cs="Arial"/>
          <w:sz w:val="23"/>
          <w:szCs w:val="23"/>
        </w:rPr>
        <w:t xml:space="preserve"> </w:t>
      </w:r>
      <w:r w:rsidR="009E160B" w:rsidRPr="00CD2013">
        <w:rPr>
          <w:rFonts w:ascii="Arial" w:hAnsi="Arial" w:cs="Arial"/>
          <w:sz w:val="23"/>
          <w:szCs w:val="23"/>
        </w:rPr>
        <w:t>n</w:t>
      </w:r>
      <w:r w:rsidRPr="00CD2013">
        <w:rPr>
          <w:rFonts w:ascii="Arial" w:hAnsi="Arial" w:cs="Arial"/>
          <w:sz w:val="23"/>
          <w:szCs w:val="23"/>
        </w:rPr>
        <w:t>epovratna sredstva po tem razpisu</w:t>
      </w:r>
      <w:r w:rsidR="009E160B" w:rsidRPr="00CD2013">
        <w:rPr>
          <w:rFonts w:ascii="Arial" w:hAnsi="Arial" w:cs="Arial"/>
          <w:sz w:val="23"/>
          <w:szCs w:val="23"/>
        </w:rPr>
        <w:t>.</w:t>
      </w:r>
      <w:r w:rsidRPr="00CD2013">
        <w:rPr>
          <w:rFonts w:ascii="Arial" w:hAnsi="Arial" w:cs="Arial"/>
          <w:sz w:val="23"/>
          <w:szCs w:val="23"/>
        </w:rPr>
        <w:t xml:space="preserve"> </w:t>
      </w:r>
    </w:p>
    <w:p w:rsidR="00877181" w:rsidRPr="00CD2013" w:rsidRDefault="00877181" w:rsidP="00163090">
      <w:pPr>
        <w:pStyle w:val="Telobesedila2"/>
        <w:tabs>
          <w:tab w:val="clear" w:pos="0"/>
        </w:tabs>
        <w:spacing w:line="240" w:lineRule="auto"/>
        <w:rPr>
          <w:rFonts w:ascii="Arial" w:hAnsi="Arial" w:cs="Arial"/>
          <w:sz w:val="23"/>
          <w:szCs w:val="23"/>
        </w:rPr>
      </w:pPr>
    </w:p>
    <w:p w:rsidR="005A01E9" w:rsidRPr="00CD2013" w:rsidRDefault="005A01E9" w:rsidP="005A01E9">
      <w:pPr>
        <w:pStyle w:val="Telobesedila2"/>
        <w:tabs>
          <w:tab w:val="clear" w:pos="0"/>
        </w:tabs>
        <w:spacing w:line="240" w:lineRule="auto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Odobrena sredstva bodo nakazana na račun prosilca.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Po odpiranju prejetih vlog bo komisija, ki jo imenuje župan, vloge obravnavala in pripravila predlog za dodelitev sredstev. 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Sklep o dodelitvi sredstev bo izdala občinska uprava in ga posredovala prosilcem najkasneje v 45 dneh po zaključku razpisnega roka.</w:t>
      </w:r>
    </w:p>
    <w:p w:rsidR="005A01E9" w:rsidRPr="00CD2013" w:rsidRDefault="005A01E9" w:rsidP="005A01E9">
      <w:pPr>
        <w:pStyle w:val="Telobesedila2"/>
        <w:spacing w:line="240" w:lineRule="auto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Dopolnitev vloge bo prosilcem omogočena samo enkrat. Vsaka nepopolna ali neustrezno dopolnjena vloga bo zavrnjena.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Dokumentacija, poslana z vlogo, se prosilcem ne bo vračala. </w:t>
      </w:r>
    </w:p>
    <w:p w:rsidR="005A01E9" w:rsidRPr="00CD201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</w:p>
    <w:p w:rsidR="005A01E9" w:rsidRPr="00CD2013" w:rsidRDefault="005A01E9" w:rsidP="005A01E9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 xml:space="preserve">V razpisni dokumentaciji so navedena podrobnejša pojasnila o pogojih in merilih za dodelitev sredstev ter o izpolnjevanju vloge. </w:t>
      </w:r>
    </w:p>
    <w:p w:rsidR="005A01E9" w:rsidRPr="00650B0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CD2013">
        <w:rPr>
          <w:rFonts w:ascii="Arial" w:hAnsi="Arial" w:cs="Arial"/>
          <w:sz w:val="23"/>
          <w:szCs w:val="23"/>
        </w:rPr>
        <w:t>Razpisno dokumentacijo prosilci lahko dobijo v sprejemno-informacijski pisarni Občine Kamnik (soba št. 1 v pritličju). Objavljena bo tudi na spletni strani Občine Kamnik:</w:t>
      </w:r>
      <w:r w:rsidRPr="00650B03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50B03">
        <w:rPr>
          <w:rFonts w:ascii="Arial" w:hAnsi="Arial" w:cs="Arial"/>
          <w:sz w:val="23"/>
          <w:szCs w:val="23"/>
        </w:rPr>
        <w:t>www.kamnik.</w:t>
      </w:r>
      <w:r w:rsidR="007D3D79">
        <w:rPr>
          <w:rFonts w:ascii="Arial" w:hAnsi="Arial" w:cs="Arial"/>
          <w:sz w:val="23"/>
          <w:szCs w:val="23"/>
        </w:rPr>
        <w:t>si</w:t>
      </w:r>
      <w:proofErr w:type="spellEnd"/>
      <w:r w:rsidRPr="00650B03">
        <w:rPr>
          <w:rFonts w:ascii="Arial" w:hAnsi="Arial" w:cs="Arial"/>
          <w:sz w:val="23"/>
          <w:szCs w:val="23"/>
        </w:rPr>
        <w:t xml:space="preserve"> rubriki »javna naročila in razpisi«.  </w:t>
      </w:r>
    </w:p>
    <w:p w:rsidR="005A01E9" w:rsidRPr="00650B03" w:rsidRDefault="005A01E9" w:rsidP="005A01E9">
      <w:pPr>
        <w:tabs>
          <w:tab w:val="num" w:pos="0"/>
        </w:tabs>
        <w:jc w:val="both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 xml:space="preserve">Prosilci lahko dobijo dodatne informacije o razpisu na Občini Kamnik (Mihela Veternik, soba št. 59, tel. št. 8318-248, e-pošta: </w:t>
      </w:r>
      <w:proofErr w:type="spellStart"/>
      <w:r w:rsidRPr="00650B03">
        <w:rPr>
          <w:rFonts w:ascii="Arial" w:hAnsi="Arial" w:cs="Arial"/>
          <w:sz w:val="23"/>
          <w:szCs w:val="23"/>
        </w:rPr>
        <w:t>mihaela.veternik@kamnik.si</w:t>
      </w:r>
      <w:proofErr w:type="spellEnd"/>
      <w:r w:rsidRPr="00650B03">
        <w:rPr>
          <w:rFonts w:ascii="Arial" w:hAnsi="Arial" w:cs="Arial"/>
          <w:sz w:val="23"/>
          <w:szCs w:val="23"/>
        </w:rPr>
        <w:t>).</w:t>
      </w:r>
    </w:p>
    <w:p w:rsidR="005A01E9" w:rsidRPr="00650B03" w:rsidRDefault="005A01E9" w:rsidP="005A01E9">
      <w:pPr>
        <w:jc w:val="both"/>
        <w:rPr>
          <w:rFonts w:ascii="Arial" w:hAnsi="Arial" w:cs="Arial"/>
          <w:sz w:val="23"/>
          <w:szCs w:val="23"/>
        </w:rPr>
      </w:pPr>
    </w:p>
    <w:p w:rsidR="005A01E9" w:rsidRPr="00650B03" w:rsidRDefault="005A01E9" w:rsidP="005A01E9">
      <w:pPr>
        <w:jc w:val="both"/>
        <w:rPr>
          <w:rFonts w:ascii="Arial" w:hAnsi="Arial" w:cs="Arial"/>
          <w:sz w:val="23"/>
          <w:szCs w:val="23"/>
        </w:rPr>
      </w:pPr>
    </w:p>
    <w:p w:rsidR="005A01E9" w:rsidRPr="00650B03" w:rsidRDefault="005A01E9" w:rsidP="005A01E9">
      <w:pPr>
        <w:jc w:val="both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MARJAN ŠAREC</w:t>
      </w:r>
    </w:p>
    <w:p w:rsidR="005A01E9" w:rsidRPr="00650B03" w:rsidRDefault="005A01E9" w:rsidP="005A01E9">
      <w:pPr>
        <w:jc w:val="both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        ŽUPAN </w:t>
      </w:r>
    </w:p>
    <w:p w:rsidR="000463D7" w:rsidRPr="00650B03" w:rsidRDefault="005A01E9" w:rsidP="00650B03">
      <w:pPr>
        <w:jc w:val="both"/>
        <w:rPr>
          <w:rFonts w:ascii="Arial" w:hAnsi="Arial" w:cs="Arial"/>
          <w:sz w:val="23"/>
          <w:szCs w:val="23"/>
        </w:rPr>
      </w:pPr>
      <w:r w:rsidRPr="00650B03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OBČINE KAMNIK </w:t>
      </w:r>
    </w:p>
    <w:sectPr w:rsidR="000463D7" w:rsidRPr="00650B03" w:rsidSect="00650B03">
      <w:headerReference w:type="first" r:id="rId7"/>
      <w:pgSz w:w="11906" w:h="16838"/>
      <w:pgMar w:top="99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C1" w:rsidRDefault="007B52C1" w:rsidP="003C6050">
      <w:r>
        <w:separator/>
      </w:r>
    </w:p>
  </w:endnote>
  <w:endnote w:type="continuationSeparator" w:id="1">
    <w:p w:rsidR="007B52C1" w:rsidRDefault="007B52C1" w:rsidP="003C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C1" w:rsidRDefault="007B52C1" w:rsidP="003C6050">
      <w:r>
        <w:separator/>
      </w:r>
    </w:p>
  </w:footnote>
  <w:footnote w:type="continuationSeparator" w:id="1">
    <w:p w:rsidR="007B52C1" w:rsidRDefault="007B52C1" w:rsidP="003C6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C1" w:rsidRDefault="007B52C1">
    <w:pPr>
      <w:pStyle w:val="Glava"/>
    </w:pPr>
    <w:r w:rsidRPr="001F3DBC">
      <w:rPr>
        <w:noProof/>
      </w:rPr>
      <w:drawing>
        <wp:inline distT="0" distB="0" distL="0" distR="0">
          <wp:extent cx="5760720" cy="1372870"/>
          <wp:effectExtent l="0" t="0" r="0" b="0"/>
          <wp:docPr id="2" name="Slika 0" descr="glava785 zu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785 zup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2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CAA"/>
    <w:multiLevelType w:val="hybridMultilevel"/>
    <w:tmpl w:val="A1C0CC58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B2795"/>
    <w:multiLevelType w:val="hybridMultilevel"/>
    <w:tmpl w:val="8E20E0C8"/>
    <w:lvl w:ilvl="0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702A1"/>
    <w:multiLevelType w:val="hybridMultilevel"/>
    <w:tmpl w:val="1DFE17B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E00EAD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7343260E"/>
    <w:multiLevelType w:val="hybridMultilevel"/>
    <w:tmpl w:val="29F03878"/>
    <w:lvl w:ilvl="0" w:tplc="80245DE4">
      <w:start w:val="1"/>
      <w:numFmt w:val="upp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0E2676"/>
    <w:multiLevelType w:val="hybridMultilevel"/>
    <w:tmpl w:val="6F20A49E"/>
    <w:lvl w:ilvl="0" w:tplc="7BE6BBEE">
      <w:start w:val="1"/>
      <w:numFmt w:val="upp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6B7C61"/>
    <w:rsid w:val="000012C6"/>
    <w:rsid w:val="000463D7"/>
    <w:rsid w:val="00067B2F"/>
    <w:rsid w:val="00075148"/>
    <w:rsid w:val="00087EC8"/>
    <w:rsid w:val="000A7230"/>
    <w:rsid w:val="00163090"/>
    <w:rsid w:val="001E6E00"/>
    <w:rsid w:val="001F3DBC"/>
    <w:rsid w:val="00212D61"/>
    <w:rsid w:val="0030005E"/>
    <w:rsid w:val="003C6050"/>
    <w:rsid w:val="003D34BF"/>
    <w:rsid w:val="00462804"/>
    <w:rsid w:val="004C6442"/>
    <w:rsid w:val="004E5EE8"/>
    <w:rsid w:val="00516B43"/>
    <w:rsid w:val="0058158B"/>
    <w:rsid w:val="005A01E9"/>
    <w:rsid w:val="00650B03"/>
    <w:rsid w:val="006B7C61"/>
    <w:rsid w:val="006C7391"/>
    <w:rsid w:val="006F1715"/>
    <w:rsid w:val="00743976"/>
    <w:rsid w:val="007B52C1"/>
    <w:rsid w:val="007C5D92"/>
    <w:rsid w:val="007D33B4"/>
    <w:rsid w:val="007D3D79"/>
    <w:rsid w:val="00877181"/>
    <w:rsid w:val="00895791"/>
    <w:rsid w:val="008A7B3E"/>
    <w:rsid w:val="00924610"/>
    <w:rsid w:val="00945DE3"/>
    <w:rsid w:val="00994B34"/>
    <w:rsid w:val="009E160B"/>
    <w:rsid w:val="00A17607"/>
    <w:rsid w:val="00A2759A"/>
    <w:rsid w:val="00AC5D0C"/>
    <w:rsid w:val="00AD2B64"/>
    <w:rsid w:val="00AE19FE"/>
    <w:rsid w:val="00BE62F0"/>
    <w:rsid w:val="00BF62B8"/>
    <w:rsid w:val="00C241D8"/>
    <w:rsid w:val="00C518BB"/>
    <w:rsid w:val="00C673CA"/>
    <w:rsid w:val="00CD2013"/>
    <w:rsid w:val="00CD2EE6"/>
    <w:rsid w:val="00DA14F2"/>
    <w:rsid w:val="00DE7C13"/>
    <w:rsid w:val="00E25EDD"/>
    <w:rsid w:val="00E74AF8"/>
    <w:rsid w:val="00E7553A"/>
    <w:rsid w:val="00ED2F2A"/>
    <w:rsid w:val="00F4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01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C60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C6050"/>
  </w:style>
  <w:style w:type="paragraph" w:styleId="Noga">
    <w:name w:val="footer"/>
    <w:basedOn w:val="Navaden"/>
    <w:link w:val="NogaZnak"/>
    <w:uiPriority w:val="99"/>
    <w:semiHidden/>
    <w:unhideWhenUsed/>
    <w:rsid w:val="003C60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3C60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8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8BB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5A01E9"/>
    <w:pPr>
      <w:jc w:val="both"/>
    </w:pPr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5A01E9"/>
    <w:rPr>
      <w:rFonts w:ascii="Times New Roman" w:eastAsia="Times New Roman" w:hAnsi="Times New Roman" w:cs="Times New Roman"/>
      <w:i/>
      <w:iCs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A01E9"/>
    <w:pPr>
      <w:tabs>
        <w:tab w:val="num" w:pos="0"/>
      </w:tabs>
      <w:spacing w:line="360" w:lineRule="auto"/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5A01E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A01E9"/>
    <w:pPr>
      <w:jc w:val="center"/>
    </w:pPr>
  </w:style>
  <w:style w:type="character" w:customStyle="1" w:styleId="Telobesedila3Znak">
    <w:name w:val="Telo besedila 3 Znak"/>
    <w:basedOn w:val="Privzetapisavaodstavka"/>
    <w:link w:val="Telobesedila3"/>
    <w:rsid w:val="005A01E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A01E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43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B-KAMNIK\predloge%202013-784\&#382;upan\predloga%20784%20z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784 zupan.dotx</Template>
  <TotalTime>213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veternik</dc:creator>
  <cp:lastModifiedBy>veternik</cp:lastModifiedBy>
  <cp:revision>17</cp:revision>
  <cp:lastPrinted>2014-03-31T08:16:00Z</cp:lastPrinted>
  <dcterms:created xsi:type="dcterms:W3CDTF">2013-10-24T06:35:00Z</dcterms:created>
  <dcterms:modified xsi:type="dcterms:W3CDTF">2014-03-31T08:33:00Z</dcterms:modified>
</cp:coreProperties>
</file>