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28D" w:rsidRPr="007B6EB1" w:rsidRDefault="00AF328D" w:rsidP="00AF328D">
      <w:pPr>
        <w:spacing w:after="0" w:line="240" w:lineRule="auto"/>
        <w:jc w:val="center"/>
        <w:rPr>
          <w:rFonts w:ascii="Jost" w:hAnsi="Jost"/>
          <w:b/>
          <w:bCs/>
        </w:rPr>
      </w:pPr>
      <w:r w:rsidRPr="005F6E60">
        <w:rPr>
          <w:rFonts w:ascii="Jost" w:hAnsi="Jost"/>
          <w:b/>
          <w:bCs/>
        </w:rPr>
        <w:t>TEHNIČNA POSODOBITEV OBČINSKEGA PROSTORSKEGA NAČRTA OBČINE</w:t>
      </w:r>
      <w:r>
        <w:rPr>
          <w:rFonts w:ascii="Jost" w:hAnsi="Jost"/>
          <w:b/>
          <w:bCs/>
        </w:rPr>
        <w:t xml:space="preserve"> </w:t>
      </w:r>
      <w:r w:rsidR="00A83BB3">
        <w:rPr>
          <w:rFonts w:ascii="Jost" w:hAnsi="Jost"/>
          <w:b/>
          <w:bCs/>
        </w:rPr>
        <w:t>GORIŠNICA</w:t>
      </w:r>
    </w:p>
    <w:p w:rsidR="00AF328D" w:rsidRDefault="00AF328D" w:rsidP="00AF328D">
      <w:pPr>
        <w:spacing w:after="0" w:line="240" w:lineRule="auto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>UVODNO POJASNILO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Občina je pristopila k prvi tehnični posodobitvi izvedbenega dela občinskega prostorskega načrta z namenom uskladitve namenske rabe z novim prenovljenim katastrom nepremičnin. Prva tehnična posodobitev je vsebinska uskladitev občinskega prostorskega načrta skladno z Zakonom o urejanju prostora (Uradni list RS, </w:t>
      </w:r>
      <w:r>
        <w:rPr>
          <w:rFonts w:ascii="Jost" w:hAnsi="Jost"/>
          <w:sz w:val="20"/>
          <w:szCs w:val="20"/>
        </w:rPr>
        <w:t>š</w:t>
      </w:r>
      <w:r w:rsidRPr="00B73A88">
        <w:rPr>
          <w:rFonts w:ascii="Jost" w:hAnsi="Jost"/>
          <w:sz w:val="20"/>
          <w:szCs w:val="20"/>
        </w:rPr>
        <w:t>t. 199/21, 18/23 — ZDU-1O</w:t>
      </w:r>
      <w:r>
        <w:rPr>
          <w:rFonts w:ascii="Jost" w:hAnsi="Jost"/>
          <w:sz w:val="20"/>
          <w:szCs w:val="20"/>
        </w:rPr>
        <w:t xml:space="preserve">, </w:t>
      </w:r>
      <w:r w:rsidRPr="00B73A88">
        <w:rPr>
          <w:rFonts w:ascii="Jost" w:hAnsi="Jost"/>
          <w:sz w:val="20"/>
          <w:szCs w:val="20"/>
        </w:rPr>
        <w:t>78/23 – ZUNPEOVE</w:t>
      </w:r>
      <w:r>
        <w:rPr>
          <w:rFonts w:ascii="Jost" w:hAnsi="Jost"/>
          <w:sz w:val="20"/>
          <w:szCs w:val="20"/>
        </w:rPr>
        <w:t xml:space="preserve">, 95/23 – ZIUOPZP, 23/24, 109/24 in 25/25 – </w:t>
      </w:r>
      <w:proofErr w:type="spellStart"/>
      <w:r>
        <w:rPr>
          <w:rFonts w:ascii="Jost" w:hAnsi="Jost"/>
          <w:sz w:val="20"/>
          <w:szCs w:val="20"/>
        </w:rPr>
        <w:t>odl</w:t>
      </w:r>
      <w:proofErr w:type="spellEnd"/>
      <w:r>
        <w:rPr>
          <w:rFonts w:ascii="Jost" w:hAnsi="Jost"/>
          <w:sz w:val="20"/>
          <w:szCs w:val="20"/>
        </w:rPr>
        <w:t>. US</w:t>
      </w:r>
      <w:r w:rsidRPr="00B73A88">
        <w:rPr>
          <w:rFonts w:ascii="Jost" w:hAnsi="Jost"/>
          <w:sz w:val="20"/>
          <w:szCs w:val="20"/>
        </w:rPr>
        <w:t>)</w:t>
      </w:r>
      <w:r>
        <w:rPr>
          <w:rFonts w:ascii="Jost" w:hAnsi="Jost"/>
          <w:sz w:val="20"/>
          <w:szCs w:val="20"/>
        </w:rPr>
        <w:t xml:space="preserve"> in se izvede</w:t>
      </w:r>
      <w:r w:rsidR="00EB15B8">
        <w:rPr>
          <w:rFonts w:ascii="Jost" w:hAnsi="Jost"/>
          <w:sz w:val="20"/>
          <w:szCs w:val="20"/>
        </w:rPr>
        <w:t xml:space="preserve"> za celotno območje Občine </w:t>
      </w:r>
      <w:r w:rsidR="00A83BB3">
        <w:rPr>
          <w:rFonts w:ascii="Jost" w:hAnsi="Jost"/>
          <w:sz w:val="20"/>
          <w:szCs w:val="20"/>
        </w:rPr>
        <w:t>Gorišnica</w:t>
      </w:r>
      <w:r w:rsidRPr="00B73A88">
        <w:rPr>
          <w:rFonts w:ascii="Jost" w:hAnsi="Jost"/>
          <w:sz w:val="20"/>
          <w:szCs w:val="20"/>
        </w:rPr>
        <w:t>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>PRAVNA PODLAGA</w:t>
      </w:r>
    </w:p>
    <w:p w:rsidR="00AF328D" w:rsidRPr="00B73A88" w:rsidRDefault="00AF328D" w:rsidP="00AF32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Zakon o urejanju prostora (</w:t>
      </w:r>
      <w:r w:rsidR="00EB15B8" w:rsidRPr="00B73A88">
        <w:rPr>
          <w:rFonts w:ascii="Jost" w:hAnsi="Jost"/>
          <w:sz w:val="20"/>
          <w:szCs w:val="20"/>
        </w:rPr>
        <w:t xml:space="preserve">Uradni list RS, </w:t>
      </w:r>
      <w:r w:rsidR="00EB15B8">
        <w:rPr>
          <w:rFonts w:ascii="Jost" w:hAnsi="Jost"/>
          <w:sz w:val="20"/>
          <w:szCs w:val="20"/>
        </w:rPr>
        <w:t>š</w:t>
      </w:r>
      <w:r w:rsidR="00EB15B8" w:rsidRPr="00B73A88">
        <w:rPr>
          <w:rFonts w:ascii="Jost" w:hAnsi="Jost"/>
          <w:sz w:val="20"/>
          <w:szCs w:val="20"/>
        </w:rPr>
        <w:t>t. 199/21, 18/23 — ZDU-1O</w:t>
      </w:r>
      <w:r w:rsidR="00EB15B8">
        <w:rPr>
          <w:rFonts w:ascii="Jost" w:hAnsi="Jost"/>
          <w:sz w:val="20"/>
          <w:szCs w:val="20"/>
        </w:rPr>
        <w:t xml:space="preserve">, </w:t>
      </w:r>
      <w:r w:rsidR="00EB15B8" w:rsidRPr="00B73A88">
        <w:rPr>
          <w:rFonts w:ascii="Jost" w:hAnsi="Jost"/>
          <w:sz w:val="20"/>
          <w:szCs w:val="20"/>
        </w:rPr>
        <w:t>78/23 – ZUNPEOVE</w:t>
      </w:r>
      <w:r w:rsidR="00EB15B8">
        <w:rPr>
          <w:rFonts w:ascii="Jost" w:hAnsi="Jost"/>
          <w:sz w:val="20"/>
          <w:szCs w:val="20"/>
        </w:rPr>
        <w:t xml:space="preserve">, 95/23 – ZIUOPZP, 23/24, 109/24 in 25/25 – </w:t>
      </w:r>
      <w:proofErr w:type="spellStart"/>
      <w:r w:rsidR="00EB15B8">
        <w:rPr>
          <w:rFonts w:ascii="Jost" w:hAnsi="Jost"/>
          <w:sz w:val="20"/>
          <w:szCs w:val="20"/>
        </w:rPr>
        <w:t>odl</w:t>
      </w:r>
      <w:proofErr w:type="spellEnd"/>
      <w:r w:rsidR="00EB15B8">
        <w:rPr>
          <w:rFonts w:ascii="Jost" w:hAnsi="Jost"/>
          <w:sz w:val="20"/>
          <w:szCs w:val="20"/>
        </w:rPr>
        <w:t>. US</w:t>
      </w:r>
      <w:r w:rsidRPr="00B73A88">
        <w:rPr>
          <w:rFonts w:ascii="Jost" w:hAnsi="Jost"/>
          <w:sz w:val="20"/>
          <w:szCs w:val="20"/>
        </w:rPr>
        <w:t>, v nadaljevanju</w:t>
      </w:r>
      <w:r>
        <w:rPr>
          <w:rFonts w:ascii="Jost" w:hAnsi="Jost"/>
          <w:sz w:val="20"/>
          <w:szCs w:val="20"/>
        </w:rPr>
        <w:t>:</w:t>
      </w:r>
      <w:r w:rsidRPr="00B73A88">
        <w:rPr>
          <w:rFonts w:ascii="Jost" w:hAnsi="Jost"/>
          <w:sz w:val="20"/>
          <w:szCs w:val="20"/>
        </w:rPr>
        <w:t xml:space="preserve"> ZUreP-3)</w:t>
      </w:r>
      <w:r w:rsidR="00A83BB3">
        <w:rPr>
          <w:rFonts w:ascii="Jost" w:hAnsi="Jost"/>
          <w:sz w:val="20"/>
          <w:szCs w:val="20"/>
        </w:rPr>
        <w:t>,</w:t>
      </w:r>
    </w:p>
    <w:p w:rsidR="00AF328D" w:rsidRPr="00B73A88" w:rsidRDefault="00AF328D" w:rsidP="00AF32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Odlok o Občinskem prostorskem načrtu občine </w:t>
      </w:r>
      <w:r w:rsidR="00A83BB3">
        <w:rPr>
          <w:rFonts w:ascii="Jost" w:hAnsi="Jost"/>
          <w:sz w:val="20"/>
          <w:szCs w:val="20"/>
        </w:rPr>
        <w:t>Gorišnica</w:t>
      </w:r>
      <w:r w:rsidRPr="00B73A88">
        <w:rPr>
          <w:rFonts w:ascii="Jost" w:hAnsi="Jost"/>
          <w:sz w:val="20"/>
          <w:szCs w:val="20"/>
        </w:rPr>
        <w:t xml:space="preserve"> (Uradno glasilo slovenskih občin, št. </w:t>
      </w:r>
      <w:r w:rsidR="00A83BB3">
        <w:rPr>
          <w:rFonts w:ascii="Jost" w:hAnsi="Jost"/>
          <w:sz w:val="20"/>
          <w:szCs w:val="20"/>
        </w:rPr>
        <w:t>5/16, 57/17 – obvezna razlaga, 7/21;</w:t>
      </w:r>
      <w:r w:rsidRPr="00B73A88">
        <w:rPr>
          <w:rFonts w:ascii="Jost" w:hAnsi="Jost"/>
          <w:sz w:val="20"/>
          <w:szCs w:val="20"/>
        </w:rPr>
        <w:t xml:space="preserve"> v nadaljevanju</w:t>
      </w:r>
      <w:r>
        <w:rPr>
          <w:rFonts w:ascii="Jost" w:hAnsi="Jost"/>
          <w:sz w:val="20"/>
          <w:szCs w:val="20"/>
        </w:rPr>
        <w:t>:</w:t>
      </w:r>
      <w:r w:rsidRPr="00B73A88">
        <w:rPr>
          <w:rFonts w:ascii="Jost" w:hAnsi="Jost"/>
          <w:sz w:val="20"/>
          <w:szCs w:val="20"/>
        </w:rPr>
        <w:t xml:space="preserve"> OPN)</w:t>
      </w:r>
      <w:r w:rsidR="00A83BB3">
        <w:rPr>
          <w:rFonts w:ascii="Jost" w:hAnsi="Jost"/>
          <w:sz w:val="20"/>
          <w:szCs w:val="20"/>
        </w:rPr>
        <w:t>,</w:t>
      </w:r>
    </w:p>
    <w:p w:rsidR="00AF328D" w:rsidRPr="001D6190" w:rsidRDefault="00AF328D" w:rsidP="00AF32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Sklep o pripravi tehnične posodobitve</w:t>
      </w:r>
      <w:r w:rsidR="00EB15B8">
        <w:rPr>
          <w:rFonts w:ascii="Jost" w:hAnsi="Jost"/>
          <w:sz w:val="20"/>
          <w:szCs w:val="20"/>
        </w:rPr>
        <w:t xml:space="preserve"> grafičnega prikaza namenske rabe prostora</w:t>
      </w:r>
      <w:r w:rsidRPr="00B73A88">
        <w:rPr>
          <w:rFonts w:ascii="Jost" w:hAnsi="Jost"/>
          <w:sz w:val="20"/>
          <w:szCs w:val="20"/>
        </w:rPr>
        <w:t xml:space="preserve"> Občinskega prostorskega načrta Občine </w:t>
      </w:r>
      <w:r w:rsidR="00A83BB3">
        <w:rPr>
          <w:rFonts w:ascii="Jost" w:hAnsi="Jost"/>
          <w:sz w:val="20"/>
          <w:szCs w:val="20"/>
        </w:rPr>
        <w:t>Gorišnica</w:t>
      </w:r>
      <w:r w:rsidRPr="00B73A88">
        <w:rPr>
          <w:rFonts w:ascii="Jost" w:hAnsi="Jost"/>
          <w:sz w:val="20"/>
          <w:szCs w:val="20"/>
        </w:rPr>
        <w:t xml:space="preserve"> </w:t>
      </w:r>
      <w:r w:rsidR="00EB15B8">
        <w:rPr>
          <w:rFonts w:ascii="Jost" w:hAnsi="Jost"/>
          <w:sz w:val="20"/>
          <w:szCs w:val="20"/>
        </w:rPr>
        <w:t>(</w:t>
      </w:r>
      <w:r w:rsidRPr="001D6190">
        <w:rPr>
          <w:rFonts w:ascii="Jost" w:hAnsi="Jost"/>
          <w:sz w:val="20"/>
          <w:szCs w:val="20"/>
        </w:rPr>
        <w:t xml:space="preserve">Uradno glasilo slovenskih občin, št. </w:t>
      </w:r>
      <w:r w:rsidR="00A83BB3">
        <w:rPr>
          <w:rFonts w:ascii="Jost" w:hAnsi="Jost"/>
          <w:sz w:val="20"/>
          <w:szCs w:val="20"/>
        </w:rPr>
        <w:t>39</w:t>
      </w:r>
      <w:r w:rsidRPr="001D6190">
        <w:rPr>
          <w:rFonts w:ascii="Jost" w:hAnsi="Jost"/>
          <w:sz w:val="20"/>
          <w:szCs w:val="20"/>
        </w:rPr>
        <w:t>/</w:t>
      </w:r>
      <w:r w:rsidR="00EB15B8">
        <w:rPr>
          <w:rFonts w:ascii="Jost" w:hAnsi="Jost"/>
          <w:sz w:val="20"/>
          <w:szCs w:val="20"/>
        </w:rPr>
        <w:t>24)</w:t>
      </w:r>
      <w:r w:rsidRPr="001D6190">
        <w:rPr>
          <w:rFonts w:ascii="Jost" w:hAnsi="Jost"/>
          <w:sz w:val="20"/>
          <w:szCs w:val="20"/>
        </w:rPr>
        <w:t>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Prva tehnična posodobitev se izvede s samostojnim postopkom skladno z drugim odstavkom 141. člena in 142. členom ZUreP-3.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>POSTOPEK PRIPRAVE</w:t>
      </w:r>
    </w:p>
    <w:p w:rsidR="00AF328D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Župan Občine </w:t>
      </w:r>
      <w:r w:rsidR="00A83BB3">
        <w:rPr>
          <w:rFonts w:ascii="Jost" w:hAnsi="Jost"/>
          <w:sz w:val="20"/>
          <w:szCs w:val="20"/>
        </w:rPr>
        <w:t>Gorišnica</w:t>
      </w:r>
      <w:r w:rsidRPr="008C0DFC">
        <w:rPr>
          <w:rFonts w:ascii="Jost" w:hAnsi="Jost"/>
          <w:sz w:val="20"/>
          <w:szCs w:val="20"/>
        </w:rPr>
        <w:t xml:space="preserve"> je </w:t>
      </w:r>
      <w:r w:rsidR="00EB15B8">
        <w:rPr>
          <w:rFonts w:ascii="Jost" w:hAnsi="Jost"/>
          <w:sz w:val="20"/>
          <w:szCs w:val="20"/>
        </w:rPr>
        <w:t xml:space="preserve">dne </w:t>
      </w:r>
      <w:r w:rsidR="00A83BB3">
        <w:rPr>
          <w:rFonts w:ascii="Jost" w:hAnsi="Jost"/>
          <w:sz w:val="20"/>
          <w:szCs w:val="20"/>
        </w:rPr>
        <w:t>4</w:t>
      </w:r>
      <w:r w:rsidRPr="008C0DFC">
        <w:rPr>
          <w:rFonts w:ascii="Jost" w:hAnsi="Jost"/>
          <w:sz w:val="20"/>
          <w:szCs w:val="20"/>
        </w:rPr>
        <w:t>.</w:t>
      </w:r>
      <w:r w:rsidR="00EB15B8">
        <w:rPr>
          <w:rFonts w:ascii="Jost" w:hAnsi="Jost"/>
          <w:sz w:val="20"/>
          <w:szCs w:val="20"/>
        </w:rPr>
        <w:t xml:space="preserve"> </w:t>
      </w:r>
      <w:r w:rsidR="00A83BB3">
        <w:rPr>
          <w:rFonts w:ascii="Jost" w:hAnsi="Jost"/>
          <w:sz w:val="20"/>
          <w:szCs w:val="20"/>
        </w:rPr>
        <w:t>6</w:t>
      </w:r>
      <w:r w:rsidRPr="008C0DFC">
        <w:rPr>
          <w:rFonts w:ascii="Jost" w:hAnsi="Jost"/>
          <w:sz w:val="20"/>
          <w:szCs w:val="20"/>
        </w:rPr>
        <w:t>. 202</w:t>
      </w:r>
      <w:r w:rsidR="00EB15B8">
        <w:rPr>
          <w:rFonts w:ascii="Jost" w:hAnsi="Jost"/>
          <w:sz w:val="20"/>
          <w:szCs w:val="20"/>
        </w:rPr>
        <w:t>4</w:t>
      </w:r>
      <w:r w:rsidRPr="008C0DFC">
        <w:rPr>
          <w:rFonts w:ascii="Jost" w:hAnsi="Jost"/>
          <w:sz w:val="20"/>
          <w:szCs w:val="20"/>
        </w:rPr>
        <w:t xml:space="preserve"> sprejel Sklep </w:t>
      </w:r>
      <w:r>
        <w:rPr>
          <w:rFonts w:ascii="Jost" w:hAnsi="Jost"/>
          <w:sz w:val="20"/>
          <w:szCs w:val="20"/>
        </w:rPr>
        <w:t xml:space="preserve">o pripravi </w:t>
      </w:r>
      <w:r w:rsidRPr="008C0DFC">
        <w:rPr>
          <w:rFonts w:ascii="Jost" w:hAnsi="Jost"/>
          <w:sz w:val="20"/>
          <w:szCs w:val="20"/>
        </w:rPr>
        <w:t xml:space="preserve">tehnične posodobitve </w:t>
      </w:r>
      <w:r w:rsidR="00EB15B8">
        <w:rPr>
          <w:rFonts w:ascii="Jost" w:hAnsi="Jost"/>
          <w:sz w:val="20"/>
          <w:szCs w:val="20"/>
        </w:rPr>
        <w:t>grafičnega prikaza namenske rabe prostora</w:t>
      </w:r>
      <w:r w:rsidR="00EB15B8" w:rsidRPr="00B73A88">
        <w:rPr>
          <w:rFonts w:ascii="Jost" w:hAnsi="Jost"/>
          <w:sz w:val="20"/>
          <w:szCs w:val="20"/>
        </w:rPr>
        <w:t xml:space="preserve"> Občinskega prostorskega načrta Občine </w:t>
      </w:r>
      <w:r w:rsidR="00A83BB3">
        <w:rPr>
          <w:rFonts w:ascii="Jost" w:hAnsi="Jost"/>
          <w:sz w:val="20"/>
          <w:szCs w:val="20"/>
        </w:rPr>
        <w:t>Gorišnica</w:t>
      </w:r>
      <w:r w:rsidR="00EB15B8" w:rsidRPr="00B73A88">
        <w:rPr>
          <w:rFonts w:ascii="Jost" w:hAnsi="Jost"/>
          <w:sz w:val="20"/>
          <w:szCs w:val="20"/>
        </w:rPr>
        <w:t xml:space="preserve"> </w:t>
      </w:r>
      <w:r w:rsidR="00EB15B8">
        <w:rPr>
          <w:rFonts w:ascii="Jost" w:hAnsi="Jost"/>
          <w:sz w:val="20"/>
          <w:szCs w:val="20"/>
        </w:rPr>
        <w:t>(</w:t>
      </w:r>
      <w:r w:rsidR="00EB15B8" w:rsidRPr="001D6190">
        <w:rPr>
          <w:rFonts w:ascii="Jost" w:hAnsi="Jost"/>
          <w:sz w:val="20"/>
          <w:szCs w:val="20"/>
        </w:rPr>
        <w:t xml:space="preserve">Uradno glasilo slovenskih občin, št. </w:t>
      </w:r>
      <w:r w:rsidR="00A83BB3">
        <w:rPr>
          <w:rFonts w:ascii="Jost" w:hAnsi="Jost"/>
          <w:sz w:val="20"/>
          <w:szCs w:val="20"/>
        </w:rPr>
        <w:t>39</w:t>
      </w:r>
      <w:r w:rsidR="00EB15B8" w:rsidRPr="001D6190">
        <w:rPr>
          <w:rFonts w:ascii="Jost" w:hAnsi="Jost"/>
          <w:sz w:val="20"/>
          <w:szCs w:val="20"/>
        </w:rPr>
        <w:t>/</w:t>
      </w:r>
      <w:r w:rsidR="00EB15B8">
        <w:rPr>
          <w:rFonts w:ascii="Jost" w:hAnsi="Jost"/>
          <w:sz w:val="20"/>
          <w:szCs w:val="20"/>
        </w:rPr>
        <w:t>24)</w:t>
      </w:r>
      <w:r w:rsidRPr="008C0DFC">
        <w:rPr>
          <w:rFonts w:ascii="Jost" w:hAnsi="Jost"/>
          <w:sz w:val="20"/>
          <w:szCs w:val="20"/>
        </w:rPr>
        <w:t xml:space="preserve">. </w:t>
      </w:r>
    </w:p>
    <w:p w:rsidR="00AF328D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Sledila je izdelava Elaborata tehnične posodobitve in tehnično posodobljenega izvedbenega dela OPN, katerega </w:t>
      </w:r>
      <w:r w:rsidR="00C82EFE">
        <w:rPr>
          <w:rFonts w:ascii="Jost" w:hAnsi="Jost"/>
          <w:sz w:val="20"/>
          <w:szCs w:val="20"/>
        </w:rPr>
        <w:t>je</w:t>
      </w:r>
      <w:r w:rsidRPr="00B73A88">
        <w:rPr>
          <w:rFonts w:ascii="Jost" w:hAnsi="Jost"/>
          <w:sz w:val="20"/>
          <w:szCs w:val="20"/>
        </w:rPr>
        <w:t xml:space="preserve"> izdelal</w:t>
      </w:r>
      <w:r w:rsidR="00C82EFE">
        <w:rPr>
          <w:rFonts w:ascii="Jost" w:hAnsi="Jost"/>
          <w:sz w:val="20"/>
          <w:szCs w:val="20"/>
        </w:rPr>
        <w:t>o podjetje TerraGIS d.o.o., Cesta na Brdo 85, 1000 Ljubljana</w:t>
      </w:r>
      <w:r w:rsidR="00AF3F9B">
        <w:rPr>
          <w:rFonts w:ascii="Jost" w:hAnsi="Jost"/>
          <w:sz w:val="20"/>
          <w:szCs w:val="20"/>
        </w:rPr>
        <w:t>, v sodelovanju s</w:t>
      </w:r>
      <w:r w:rsidRPr="00B73A88">
        <w:rPr>
          <w:rFonts w:ascii="Jost" w:hAnsi="Jost"/>
          <w:sz w:val="20"/>
          <w:szCs w:val="20"/>
        </w:rPr>
        <w:t xml:space="preserve"> pooblaščeni</w:t>
      </w:r>
      <w:r w:rsidR="00AF3F9B">
        <w:rPr>
          <w:rFonts w:ascii="Jost" w:hAnsi="Jost"/>
          <w:sz w:val="20"/>
          <w:szCs w:val="20"/>
        </w:rPr>
        <w:t>m</w:t>
      </w:r>
      <w:r w:rsidRPr="00B73A88">
        <w:rPr>
          <w:rFonts w:ascii="Jost" w:hAnsi="Jost"/>
          <w:sz w:val="20"/>
          <w:szCs w:val="20"/>
        </w:rPr>
        <w:t xml:space="preserve"> prostorski</w:t>
      </w:r>
      <w:r w:rsidR="00AF3F9B">
        <w:rPr>
          <w:rFonts w:ascii="Jost" w:hAnsi="Jost"/>
          <w:sz w:val="20"/>
          <w:szCs w:val="20"/>
        </w:rPr>
        <w:t>m</w:t>
      </w:r>
      <w:r w:rsidRPr="00B73A88">
        <w:rPr>
          <w:rFonts w:ascii="Jost" w:hAnsi="Jost"/>
          <w:sz w:val="20"/>
          <w:szCs w:val="20"/>
        </w:rPr>
        <w:t xml:space="preserve"> načrtovalc</w:t>
      </w:r>
      <w:r w:rsidR="00AF3F9B">
        <w:rPr>
          <w:rFonts w:ascii="Jost" w:hAnsi="Jost"/>
          <w:sz w:val="20"/>
          <w:szCs w:val="20"/>
        </w:rPr>
        <w:t>em</w:t>
      </w:r>
      <w:r w:rsidRPr="00B73A88">
        <w:rPr>
          <w:rFonts w:ascii="Jost" w:hAnsi="Jost"/>
          <w:sz w:val="20"/>
          <w:szCs w:val="20"/>
        </w:rPr>
        <w:t xml:space="preserve"> in pooblaščeni</w:t>
      </w:r>
      <w:r w:rsidR="00AF3F9B">
        <w:rPr>
          <w:rFonts w:ascii="Jost" w:hAnsi="Jost"/>
          <w:sz w:val="20"/>
          <w:szCs w:val="20"/>
        </w:rPr>
        <w:t>m</w:t>
      </w:r>
      <w:r w:rsidRPr="00B73A88">
        <w:rPr>
          <w:rFonts w:ascii="Jost" w:hAnsi="Jost"/>
          <w:sz w:val="20"/>
          <w:szCs w:val="20"/>
        </w:rPr>
        <w:t xml:space="preserve"> inženir</w:t>
      </w:r>
      <w:r w:rsidR="00AF3F9B">
        <w:rPr>
          <w:rFonts w:ascii="Jost" w:hAnsi="Jost"/>
          <w:sz w:val="20"/>
          <w:szCs w:val="20"/>
        </w:rPr>
        <w:t>jem</w:t>
      </w:r>
      <w:r w:rsidRPr="00B73A88">
        <w:rPr>
          <w:rFonts w:ascii="Jost" w:hAnsi="Jost"/>
          <w:sz w:val="20"/>
          <w:szCs w:val="20"/>
        </w:rPr>
        <w:t xml:space="preserve"> s področja geodezije</w:t>
      </w:r>
      <w:r w:rsidR="00AF3F9B">
        <w:rPr>
          <w:rFonts w:ascii="Jost" w:hAnsi="Jost"/>
          <w:sz w:val="20"/>
          <w:szCs w:val="20"/>
        </w:rPr>
        <w:t>.</w:t>
      </w:r>
      <w:r w:rsidRPr="00B73A88">
        <w:rPr>
          <w:rFonts w:ascii="Jost" w:hAnsi="Jost"/>
          <w:sz w:val="20"/>
          <w:szCs w:val="20"/>
        </w:rPr>
        <w:t xml:space="preserve"> </w:t>
      </w:r>
    </w:p>
    <w:p w:rsidR="00AF328D" w:rsidRPr="00E80317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E80317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E80317">
        <w:rPr>
          <w:rFonts w:ascii="Jost" w:hAnsi="Jost"/>
          <w:sz w:val="20"/>
          <w:szCs w:val="20"/>
        </w:rPr>
        <w:t xml:space="preserve">Ministrstvo za naravne vire in prostor </w:t>
      </w:r>
      <w:r w:rsidR="00C00C09">
        <w:rPr>
          <w:rFonts w:ascii="Jost" w:hAnsi="Jost"/>
          <w:sz w:val="20"/>
          <w:szCs w:val="20"/>
        </w:rPr>
        <w:t xml:space="preserve">je </w:t>
      </w:r>
      <w:r w:rsidRPr="00E80317">
        <w:rPr>
          <w:rFonts w:ascii="Jost" w:hAnsi="Jost"/>
          <w:sz w:val="20"/>
          <w:szCs w:val="20"/>
        </w:rPr>
        <w:t xml:space="preserve">dodelilo identifikacijsko številko prostorskega akta v zbirki prostorskih aktov (ID  </w:t>
      </w:r>
      <w:r w:rsidR="00C00C09">
        <w:rPr>
          <w:rFonts w:ascii="Jost" w:hAnsi="Jost"/>
          <w:sz w:val="20"/>
          <w:szCs w:val="20"/>
        </w:rPr>
        <w:t>5</w:t>
      </w:r>
      <w:r w:rsidR="00AF3F9B">
        <w:rPr>
          <w:rFonts w:ascii="Jost" w:hAnsi="Jost"/>
          <w:sz w:val="20"/>
          <w:szCs w:val="20"/>
        </w:rPr>
        <w:t>239</w:t>
      </w:r>
      <w:r w:rsidRPr="00E80317">
        <w:rPr>
          <w:rFonts w:ascii="Jost" w:hAnsi="Jost"/>
          <w:sz w:val="20"/>
          <w:szCs w:val="20"/>
        </w:rPr>
        <w:t>) in po uspešnem tehničnem pregledu objavilo osnutek gradiva na spletnih straneh ministrstva.</w:t>
      </w:r>
    </w:p>
    <w:p w:rsidR="00AF328D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E80317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E80317">
        <w:rPr>
          <w:rFonts w:ascii="Jost" w:hAnsi="Jost"/>
          <w:sz w:val="20"/>
          <w:szCs w:val="20"/>
        </w:rPr>
        <w:t xml:space="preserve">Javna razgrnitev gradiva tehnične posodobitve je potekala od </w:t>
      </w:r>
      <w:r w:rsidR="00AF3F9B">
        <w:rPr>
          <w:rFonts w:ascii="Jost" w:hAnsi="Jost"/>
          <w:sz w:val="20"/>
          <w:szCs w:val="20"/>
        </w:rPr>
        <w:t>ponedeljka</w:t>
      </w:r>
      <w:r w:rsidRPr="00BD46A1">
        <w:rPr>
          <w:rFonts w:ascii="Jost" w:hAnsi="Jost"/>
          <w:sz w:val="20"/>
          <w:szCs w:val="20"/>
        </w:rPr>
        <w:t xml:space="preserve"> </w:t>
      </w:r>
      <w:r w:rsidR="00AF3F9B">
        <w:rPr>
          <w:rFonts w:ascii="Jost" w:hAnsi="Jost"/>
          <w:sz w:val="20"/>
          <w:szCs w:val="20"/>
        </w:rPr>
        <w:t>9</w:t>
      </w:r>
      <w:r w:rsidRPr="00BD46A1">
        <w:rPr>
          <w:rFonts w:ascii="Jost" w:hAnsi="Jost"/>
          <w:sz w:val="20"/>
          <w:szCs w:val="20"/>
        </w:rPr>
        <w:t>.</w:t>
      </w:r>
      <w:r w:rsidR="00C00C09">
        <w:rPr>
          <w:rFonts w:ascii="Jost" w:hAnsi="Jost"/>
          <w:sz w:val="20"/>
          <w:szCs w:val="20"/>
        </w:rPr>
        <w:t xml:space="preserve"> 6</w:t>
      </w:r>
      <w:r w:rsidRPr="00BD46A1">
        <w:rPr>
          <w:rFonts w:ascii="Jost" w:hAnsi="Jost"/>
          <w:sz w:val="20"/>
          <w:szCs w:val="20"/>
        </w:rPr>
        <w:t>.</w:t>
      </w:r>
      <w:r w:rsidR="00C00C09">
        <w:rPr>
          <w:rFonts w:ascii="Jost" w:hAnsi="Jost"/>
          <w:sz w:val="20"/>
          <w:szCs w:val="20"/>
        </w:rPr>
        <w:t xml:space="preserve"> </w:t>
      </w:r>
      <w:r w:rsidRPr="00BD46A1">
        <w:rPr>
          <w:rFonts w:ascii="Jost" w:hAnsi="Jost"/>
          <w:sz w:val="20"/>
          <w:szCs w:val="20"/>
        </w:rPr>
        <w:t>202</w:t>
      </w:r>
      <w:r w:rsidR="00C00C09">
        <w:rPr>
          <w:rFonts w:ascii="Jost" w:hAnsi="Jost"/>
          <w:sz w:val="20"/>
          <w:szCs w:val="20"/>
        </w:rPr>
        <w:t>5</w:t>
      </w:r>
      <w:r w:rsidRPr="00BD46A1">
        <w:rPr>
          <w:rFonts w:ascii="Jost" w:hAnsi="Jost"/>
          <w:sz w:val="20"/>
          <w:szCs w:val="20"/>
        </w:rPr>
        <w:t xml:space="preserve"> do vključno </w:t>
      </w:r>
      <w:r w:rsidR="00AF3F9B">
        <w:rPr>
          <w:rFonts w:ascii="Jost" w:hAnsi="Jost"/>
          <w:sz w:val="20"/>
          <w:szCs w:val="20"/>
        </w:rPr>
        <w:t>tor</w:t>
      </w:r>
      <w:r w:rsidR="00C00C09">
        <w:rPr>
          <w:rFonts w:ascii="Jost" w:hAnsi="Jost"/>
          <w:sz w:val="20"/>
          <w:szCs w:val="20"/>
        </w:rPr>
        <w:t>k</w:t>
      </w:r>
      <w:r>
        <w:rPr>
          <w:rFonts w:ascii="Jost" w:hAnsi="Jost"/>
          <w:sz w:val="20"/>
          <w:szCs w:val="20"/>
        </w:rPr>
        <w:t>a</w:t>
      </w:r>
      <w:r w:rsidRPr="00BD46A1">
        <w:rPr>
          <w:rFonts w:ascii="Jost" w:hAnsi="Jost"/>
          <w:sz w:val="20"/>
          <w:szCs w:val="20"/>
        </w:rPr>
        <w:t xml:space="preserve"> </w:t>
      </w:r>
      <w:r w:rsidR="00C00C09">
        <w:rPr>
          <w:rFonts w:ascii="Jost" w:hAnsi="Jost"/>
          <w:sz w:val="20"/>
          <w:szCs w:val="20"/>
        </w:rPr>
        <w:t>2</w:t>
      </w:r>
      <w:r w:rsidR="00AF3F9B">
        <w:rPr>
          <w:rFonts w:ascii="Jost" w:hAnsi="Jost"/>
          <w:sz w:val="20"/>
          <w:szCs w:val="20"/>
        </w:rPr>
        <w:t>4</w:t>
      </w:r>
      <w:r w:rsidRPr="00BD46A1">
        <w:rPr>
          <w:rFonts w:ascii="Jost" w:hAnsi="Jost"/>
          <w:sz w:val="20"/>
          <w:szCs w:val="20"/>
        </w:rPr>
        <w:t>.</w:t>
      </w:r>
      <w:r w:rsidR="00C00C09">
        <w:rPr>
          <w:rFonts w:ascii="Jost" w:hAnsi="Jost"/>
          <w:sz w:val="20"/>
          <w:szCs w:val="20"/>
        </w:rPr>
        <w:t xml:space="preserve"> 6</w:t>
      </w:r>
      <w:r w:rsidRPr="00BD46A1">
        <w:rPr>
          <w:rFonts w:ascii="Jost" w:hAnsi="Jost"/>
          <w:sz w:val="20"/>
          <w:szCs w:val="20"/>
        </w:rPr>
        <w:t>. 202</w:t>
      </w:r>
      <w:r w:rsidR="00C00C09">
        <w:rPr>
          <w:rFonts w:ascii="Jost" w:hAnsi="Jost"/>
          <w:sz w:val="20"/>
          <w:szCs w:val="20"/>
        </w:rPr>
        <w:t>5</w:t>
      </w:r>
      <w:r w:rsidRPr="00E80317">
        <w:rPr>
          <w:rFonts w:ascii="Jost" w:hAnsi="Jost"/>
          <w:sz w:val="20"/>
          <w:szCs w:val="20"/>
        </w:rPr>
        <w:t>.</w:t>
      </w:r>
      <w:r>
        <w:rPr>
          <w:rFonts w:ascii="Jost" w:hAnsi="Jost"/>
          <w:sz w:val="20"/>
          <w:szCs w:val="20"/>
        </w:rPr>
        <w:t xml:space="preserve"> </w:t>
      </w:r>
      <w:r w:rsidRPr="00E80317">
        <w:rPr>
          <w:rFonts w:ascii="Jost" w:hAnsi="Jost"/>
          <w:sz w:val="20"/>
          <w:szCs w:val="20"/>
        </w:rPr>
        <w:t>V času javne razgrnitve ni bilo podanih pripomb ali predlogov na razgrnjeno gradivo.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  <w:highlight w:val="yellow"/>
        </w:rPr>
      </w:pPr>
    </w:p>
    <w:p w:rsidR="00AF328D" w:rsidRPr="00B73A88" w:rsidRDefault="00C00C09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>
        <w:rPr>
          <w:rFonts w:ascii="Jost" w:hAnsi="Jost"/>
          <w:sz w:val="20"/>
          <w:szCs w:val="20"/>
        </w:rPr>
        <w:t>Po končani javni razgrnitvi</w:t>
      </w:r>
      <w:r w:rsidR="00AF328D" w:rsidRPr="00225723">
        <w:rPr>
          <w:rFonts w:ascii="Jost" w:hAnsi="Jost"/>
          <w:sz w:val="20"/>
          <w:szCs w:val="20"/>
        </w:rPr>
        <w:t xml:space="preserve"> se je pripravil predlog tehnične posodobitve. Občinski svet sprejme predlog tehnične posodobitve občinskega prostorskega načrta s sklepom, ki se objavi v </w:t>
      </w:r>
      <w:r w:rsidR="00AF328D">
        <w:rPr>
          <w:rFonts w:ascii="Jost" w:hAnsi="Jost"/>
          <w:sz w:val="20"/>
          <w:szCs w:val="20"/>
        </w:rPr>
        <w:t>U</w:t>
      </w:r>
      <w:r w:rsidR="00AF328D" w:rsidRPr="00225723">
        <w:rPr>
          <w:rFonts w:ascii="Jost" w:hAnsi="Jost"/>
          <w:sz w:val="20"/>
          <w:szCs w:val="20"/>
        </w:rPr>
        <w:t xml:space="preserve">radnem glasilu </w:t>
      </w:r>
      <w:r w:rsidR="00AF328D">
        <w:rPr>
          <w:rFonts w:ascii="Jost" w:hAnsi="Jost"/>
          <w:sz w:val="20"/>
          <w:szCs w:val="20"/>
        </w:rPr>
        <w:t xml:space="preserve">slovenskih </w:t>
      </w:r>
      <w:r w:rsidR="00AF328D" w:rsidRPr="00225723">
        <w:rPr>
          <w:rFonts w:ascii="Jost" w:hAnsi="Jost"/>
          <w:sz w:val="20"/>
          <w:szCs w:val="20"/>
        </w:rPr>
        <w:t>občin. Posodobljen občinski prostorski načrt se objavi v Prostorskem informacijskem sistemu</w:t>
      </w:r>
      <w:r w:rsidR="00AF328D">
        <w:rPr>
          <w:rFonts w:ascii="Jost" w:hAnsi="Jost"/>
          <w:sz w:val="20"/>
          <w:szCs w:val="20"/>
        </w:rPr>
        <w:t xml:space="preserve"> Ministrstva za naravne vire in prostor</w:t>
      </w:r>
      <w:r w:rsidR="00AF328D" w:rsidRPr="00225723">
        <w:rPr>
          <w:rFonts w:ascii="Jost" w:hAnsi="Jost"/>
          <w:sz w:val="20"/>
          <w:szCs w:val="20"/>
        </w:rPr>
        <w:t>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>OBRAZLOŽITEV TEHNIČNE POSODOBITVE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Tehnična posodobitev je tehnični postopek prilagoditve meje namenske rabe skladno s potekom meje v zemljiškem katastru. To pomeni, da je</w:t>
      </w:r>
      <w:r>
        <w:rPr>
          <w:rFonts w:ascii="Jost" w:hAnsi="Jost"/>
          <w:sz w:val="20"/>
          <w:szCs w:val="20"/>
        </w:rPr>
        <w:t xml:space="preserve"> treba</w:t>
      </w:r>
      <w:r w:rsidRPr="00B73A88">
        <w:rPr>
          <w:rFonts w:ascii="Jost" w:hAnsi="Jost"/>
          <w:sz w:val="20"/>
          <w:szCs w:val="20"/>
        </w:rPr>
        <w:t>, ko se v postopku ureditve meje, parcelacije, izravnave meje, komasacije, izboljšave natančnosti</w:t>
      </w:r>
      <w:r>
        <w:rPr>
          <w:rFonts w:ascii="Jost" w:hAnsi="Jost"/>
          <w:sz w:val="20"/>
          <w:szCs w:val="20"/>
        </w:rPr>
        <w:t xml:space="preserve"> ipd.</w:t>
      </w:r>
      <w:r w:rsidRPr="00B73A88">
        <w:rPr>
          <w:rFonts w:ascii="Jost" w:hAnsi="Jost"/>
          <w:sz w:val="20"/>
          <w:szCs w:val="20"/>
        </w:rPr>
        <w:t xml:space="preserve"> v zemljiškem katastru spremeni položaj meje med parcelama, uskladiti tudi mejo namenske rabe, tako da se ohranja vrsta in delež namenske rabe na parceli.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Namenska raba veljavnega občinskega prostorskega načrta je izdelana na podlagi zemljiško katastrskega prikaza (ZKP</w:t>
      </w:r>
      <w:r w:rsidRPr="00E012CF">
        <w:rPr>
          <w:rFonts w:ascii="Jost" w:hAnsi="Jost"/>
          <w:sz w:val="20"/>
          <w:szCs w:val="20"/>
        </w:rPr>
        <w:t>) iz leta 201</w:t>
      </w:r>
      <w:r w:rsidR="00AF3F9B">
        <w:rPr>
          <w:rFonts w:ascii="Jost" w:hAnsi="Jost"/>
          <w:sz w:val="20"/>
          <w:szCs w:val="20"/>
        </w:rPr>
        <w:t>7</w:t>
      </w:r>
      <w:r>
        <w:rPr>
          <w:rFonts w:ascii="Jost" w:hAnsi="Jost"/>
          <w:sz w:val="20"/>
          <w:szCs w:val="20"/>
        </w:rPr>
        <w:t>, imenovan tudi kot izvorni ZKP</w:t>
      </w:r>
      <w:r w:rsidRPr="00B73A88">
        <w:rPr>
          <w:rFonts w:ascii="Jost" w:hAnsi="Jost"/>
          <w:sz w:val="20"/>
          <w:szCs w:val="20"/>
        </w:rPr>
        <w:t>. V letih od 2019 do 2022 je</w:t>
      </w:r>
      <w:r>
        <w:rPr>
          <w:rFonts w:ascii="Jost" w:hAnsi="Jost"/>
          <w:sz w:val="20"/>
          <w:szCs w:val="20"/>
        </w:rPr>
        <w:t xml:space="preserve"> </w:t>
      </w:r>
      <w:r w:rsidRPr="00B73A88">
        <w:rPr>
          <w:rFonts w:ascii="Jost" w:hAnsi="Jost"/>
          <w:sz w:val="20"/>
          <w:szCs w:val="20"/>
        </w:rPr>
        <w:t>Geodetska uprava Republike Slovenije pripravila izboljšavo zemljiškega katastra, s katero je izboljšala položajno natančnost zemljiško katastrskih prikazov (ZKP) ter prejšnji zvezni sloj (ZKP) preoblikovala v zemljiško katastrski načrt (ZKN), kateri je sedaj edina uradna evidenca katastra nepremičnin.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Prva tehnična posodobitev tako predstavlja prilagoditev namenske rabe na izboljšan katastrski prikaz oziroma zemljiškokatastrski načrt (ZKN) in transformacijo iz starega Gauss-</w:t>
      </w:r>
      <w:proofErr w:type="spellStart"/>
      <w:r w:rsidRPr="00B73A88">
        <w:rPr>
          <w:rFonts w:ascii="Jost" w:hAnsi="Jost"/>
          <w:sz w:val="20"/>
          <w:szCs w:val="20"/>
        </w:rPr>
        <w:t>Kruegerjevega</w:t>
      </w:r>
      <w:proofErr w:type="spellEnd"/>
      <w:r w:rsidRPr="00B73A88">
        <w:rPr>
          <w:rFonts w:ascii="Jost" w:hAnsi="Jost"/>
          <w:sz w:val="20"/>
          <w:szCs w:val="20"/>
        </w:rPr>
        <w:t xml:space="preserve"> koordinatnega sistema v veljaven državen koordinatni sistem D96/TM. Tehnična uskladitev je izvedena na stanje katastra nepremičnin </w:t>
      </w:r>
      <w:r w:rsidRPr="00E012CF">
        <w:rPr>
          <w:rFonts w:ascii="Jost" w:hAnsi="Jost"/>
          <w:sz w:val="20"/>
          <w:szCs w:val="20"/>
        </w:rPr>
        <w:t xml:space="preserve">na dan </w:t>
      </w:r>
      <w:r w:rsidR="00AF3F9B">
        <w:rPr>
          <w:rFonts w:ascii="Jost" w:hAnsi="Jost"/>
          <w:sz w:val="20"/>
          <w:szCs w:val="20"/>
        </w:rPr>
        <w:t>6</w:t>
      </w:r>
      <w:r w:rsidRPr="00E012CF">
        <w:rPr>
          <w:rFonts w:ascii="Jost" w:hAnsi="Jost"/>
          <w:sz w:val="20"/>
          <w:szCs w:val="20"/>
        </w:rPr>
        <w:t>.</w:t>
      </w:r>
      <w:r w:rsidR="00C517F3">
        <w:rPr>
          <w:rFonts w:ascii="Jost" w:hAnsi="Jost"/>
          <w:sz w:val="20"/>
          <w:szCs w:val="20"/>
        </w:rPr>
        <w:t xml:space="preserve"> </w:t>
      </w:r>
      <w:r w:rsidR="00AF3F9B">
        <w:rPr>
          <w:rFonts w:ascii="Jost" w:hAnsi="Jost"/>
          <w:sz w:val="20"/>
          <w:szCs w:val="20"/>
        </w:rPr>
        <w:t>4</w:t>
      </w:r>
      <w:r w:rsidRPr="00E012CF">
        <w:rPr>
          <w:rFonts w:ascii="Jost" w:hAnsi="Jost"/>
          <w:sz w:val="20"/>
          <w:szCs w:val="20"/>
        </w:rPr>
        <w:t>.</w:t>
      </w:r>
      <w:r w:rsidR="00C517F3">
        <w:rPr>
          <w:rFonts w:ascii="Jost" w:hAnsi="Jost"/>
          <w:sz w:val="20"/>
          <w:szCs w:val="20"/>
        </w:rPr>
        <w:t xml:space="preserve"> </w:t>
      </w:r>
      <w:r w:rsidRPr="00E012CF">
        <w:rPr>
          <w:rFonts w:ascii="Jost" w:hAnsi="Jost"/>
          <w:sz w:val="20"/>
          <w:szCs w:val="20"/>
        </w:rPr>
        <w:t>202</w:t>
      </w:r>
      <w:r w:rsidR="00AF3F9B">
        <w:rPr>
          <w:rFonts w:ascii="Jost" w:hAnsi="Jost"/>
          <w:sz w:val="20"/>
          <w:szCs w:val="20"/>
        </w:rPr>
        <w:t>5</w:t>
      </w:r>
      <w:r w:rsidRPr="00B73A88">
        <w:rPr>
          <w:rFonts w:ascii="Jost" w:hAnsi="Jost"/>
          <w:sz w:val="20"/>
          <w:szCs w:val="20"/>
        </w:rPr>
        <w:t>.</w:t>
      </w:r>
    </w:p>
    <w:p w:rsidR="00AF328D" w:rsidRPr="001C59B6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lastRenderedPageBreak/>
        <w:t xml:space="preserve">S tehnično </w:t>
      </w:r>
      <w:r w:rsidRPr="00E012CF">
        <w:rPr>
          <w:rFonts w:ascii="Jost" w:hAnsi="Jost"/>
          <w:sz w:val="20"/>
          <w:szCs w:val="20"/>
        </w:rPr>
        <w:t xml:space="preserve">posodobitvijo Občinskega prostorskega načrta Občine </w:t>
      </w:r>
      <w:r w:rsidR="00AF3F9B">
        <w:rPr>
          <w:rFonts w:ascii="Jost" w:hAnsi="Jost"/>
          <w:sz w:val="20"/>
          <w:szCs w:val="20"/>
        </w:rPr>
        <w:t>Gorišnica</w:t>
      </w:r>
      <w:r w:rsidRPr="00E012CF">
        <w:rPr>
          <w:rFonts w:ascii="Jost" w:hAnsi="Jost"/>
          <w:sz w:val="20"/>
          <w:szCs w:val="20"/>
        </w:rPr>
        <w:t>,</w:t>
      </w:r>
      <w:r w:rsidRPr="00B73A88">
        <w:rPr>
          <w:rFonts w:ascii="Jost" w:hAnsi="Jost"/>
          <w:sz w:val="20"/>
          <w:szCs w:val="20"/>
        </w:rPr>
        <w:t xml:space="preserve"> </w:t>
      </w:r>
      <w:r w:rsidRPr="001C59B6">
        <w:rPr>
          <w:rFonts w:ascii="Jost" w:hAnsi="Jost"/>
          <w:sz w:val="20"/>
          <w:szCs w:val="20"/>
        </w:rPr>
        <w:t>se nadomestijo sledeči prikazi izvedbenega dela:</w:t>
      </w:r>
    </w:p>
    <w:p w:rsidR="00AF328D" w:rsidRPr="001C59B6" w:rsidRDefault="00AF328D" w:rsidP="00AF328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1C59B6">
        <w:rPr>
          <w:rFonts w:ascii="Jost" w:hAnsi="Jost"/>
          <w:sz w:val="20"/>
          <w:szCs w:val="20"/>
        </w:rPr>
        <w:t>Pregledna karta občine z razdelitvijo na liste,</w:t>
      </w:r>
    </w:p>
    <w:p w:rsidR="00AF328D" w:rsidRPr="001C59B6" w:rsidRDefault="00AF328D" w:rsidP="00AF328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1C59B6">
        <w:rPr>
          <w:rFonts w:ascii="Jost" w:hAnsi="Jost"/>
          <w:sz w:val="20"/>
          <w:szCs w:val="20"/>
        </w:rPr>
        <w:t>Pregledna karta občine s prikazom osnovne namenske rabe in ključnih omrežij gospodarske javne infrastrukture,</w:t>
      </w:r>
    </w:p>
    <w:p w:rsidR="00AF328D" w:rsidRPr="001C59B6" w:rsidRDefault="00AF328D" w:rsidP="00AF328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1C59B6">
        <w:rPr>
          <w:rFonts w:ascii="Jost" w:hAnsi="Jost"/>
          <w:sz w:val="20"/>
          <w:szCs w:val="20"/>
        </w:rPr>
        <w:t>Prikaz območij enot urejanja prostora, osnovne oziroma podrobnejše namenske rabe prostora in prostorskih izvedbenih pogojev,</w:t>
      </w:r>
    </w:p>
    <w:p w:rsidR="00AF328D" w:rsidRPr="001C59B6" w:rsidRDefault="00AF328D" w:rsidP="00AF328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1C59B6">
        <w:rPr>
          <w:rFonts w:ascii="Jost" w:hAnsi="Jost"/>
          <w:sz w:val="20"/>
          <w:szCs w:val="20"/>
        </w:rPr>
        <w:t>Prikaz območij enot urejanja prostora in gospodarske javne infrastrukture.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  <w:highlight w:val="yellow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 xml:space="preserve">UTEMELJITEV TEHNIČNE POSODOBITVE 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Vse spremembe, ki so nastale v okviru tehnične posodobitve prostorskega izvedbenega akta</w:t>
      </w:r>
      <w:r>
        <w:rPr>
          <w:rFonts w:ascii="Jost" w:hAnsi="Jost"/>
          <w:sz w:val="20"/>
          <w:szCs w:val="20"/>
        </w:rPr>
        <w:t>,</w:t>
      </w:r>
      <w:r w:rsidRPr="00B73A88">
        <w:rPr>
          <w:rFonts w:ascii="Jost" w:hAnsi="Jost"/>
          <w:sz w:val="20"/>
          <w:szCs w:val="20"/>
        </w:rPr>
        <w:t xml:space="preserve"> so izvedene zaradi usklajevanja grafičnega dela prostorskega izvedbenega akta z aktualnimi podatki iz katastra nepremičnin. S spremembami se ne načrtujejo nove prostorske ureditve, oziroma ne določa nove izvedbene regulacije prostora.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>Tehnična posodobitev je izvedena na podlagi 141. in 142. člena Zakona o urejanju prostora (ZUreP-3) in v skladu s Tehničnimi pravili za pripravo občinskih prostorskih izvedbenih aktov v digitalni obliki (MOP 19.1.2023), Uredbe o prostorskem informacijskem sistemu (Uradni list RS, št. 119/07, 8/10 — ZIPI, 61/17 — ZUreP-2 in 199/21 - ZUreP-3) ter Metodologije za izvedbo postopka tehnične posodobitve grafičnega prikaza namenske rabe prostora (MOP, 2021).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b/>
          <w:bCs/>
          <w:sz w:val="20"/>
          <w:szCs w:val="20"/>
        </w:rPr>
      </w:pPr>
      <w:r w:rsidRPr="00B73A88">
        <w:rPr>
          <w:rFonts w:ascii="Jost" w:hAnsi="Jost"/>
          <w:b/>
          <w:bCs/>
          <w:sz w:val="20"/>
          <w:szCs w:val="20"/>
        </w:rPr>
        <w:t>POSTOPEK ZA SPREJEM SKLEPA</w:t>
      </w:r>
    </w:p>
    <w:p w:rsidR="00AF328D" w:rsidRPr="00B73A88" w:rsidRDefault="00892ED2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>
        <w:rPr>
          <w:rFonts w:ascii="Jost" w:hAnsi="Jost"/>
          <w:sz w:val="20"/>
          <w:szCs w:val="20"/>
          <w:highlight w:val="yellow"/>
        </w:rPr>
        <w:t>x</w:t>
      </w:r>
      <w:r w:rsidR="00AF328D" w:rsidRPr="00A85720">
        <w:rPr>
          <w:rFonts w:ascii="Jost" w:hAnsi="Jost"/>
          <w:sz w:val="20"/>
          <w:szCs w:val="20"/>
          <w:highlight w:val="yellow"/>
        </w:rPr>
        <w:t xml:space="preserve">. člen Statuta Občine </w:t>
      </w:r>
      <w:r w:rsidR="00AF3F9B">
        <w:rPr>
          <w:rFonts w:ascii="Jost" w:hAnsi="Jost"/>
          <w:sz w:val="20"/>
          <w:szCs w:val="20"/>
          <w:highlight w:val="yellow"/>
        </w:rPr>
        <w:t>Gorišnica</w:t>
      </w:r>
      <w:r w:rsidR="00AF328D" w:rsidRPr="00A85720">
        <w:rPr>
          <w:rFonts w:ascii="Jost" w:hAnsi="Jost"/>
          <w:sz w:val="20"/>
          <w:szCs w:val="20"/>
          <w:highlight w:val="yellow"/>
        </w:rPr>
        <w:t xml:space="preserve"> (Uradno glasilo slovenskih občin, št.</w:t>
      </w:r>
      <w:r w:rsidR="004A19BA">
        <w:rPr>
          <w:rFonts w:ascii="Jost" w:hAnsi="Jost"/>
          <w:sz w:val="20"/>
          <w:szCs w:val="20"/>
          <w:highlight w:val="yellow"/>
        </w:rPr>
        <w:t xml:space="preserve"> 11/16, 45/17 in 10/19</w:t>
      </w:r>
      <w:r w:rsidR="00AF328D" w:rsidRPr="00A85720">
        <w:rPr>
          <w:rFonts w:ascii="Jost" w:hAnsi="Jost"/>
          <w:sz w:val="20"/>
          <w:szCs w:val="20"/>
          <w:highlight w:val="yellow"/>
        </w:rPr>
        <w:t xml:space="preserve">)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določa,</w:t>
      </w:r>
      <w:r w:rsidR="00AF328D" w:rsidRPr="00A85720">
        <w:rPr>
          <w:rFonts w:ascii="Jost" w:eastAsia="Arial" w:hAnsi="Jost" w:cs="Arial"/>
          <w:color w:val="0F0F0F"/>
          <w:spacing w:val="-5"/>
          <w:sz w:val="20"/>
          <w:szCs w:val="20"/>
          <w:highlight w:val="yellow"/>
          <w:lang w:eastAsia="en-US"/>
        </w:rPr>
        <w:t xml:space="preserve">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da</w:t>
      </w:r>
      <w:r w:rsidR="00AF328D" w:rsidRPr="00A85720">
        <w:rPr>
          <w:rFonts w:ascii="Jost" w:eastAsia="Arial" w:hAnsi="Jost" w:cs="Arial"/>
          <w:color w:val="0F0F0F"/>
          <w:spacing w:val="-59"/>
          <w:sz w:val="20"/>
          <w:szCs w:val="20"/>
          <w:highlight w:val="yellow"/>
          <w:lang w:eastAsia="en-US"/>
        </w:rPr>
        <w:t xml:space="preserve">    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 xml:space="preserve"> prostorske akte, za katere je z zakonom, ki ureja prostorsko načrtovanje, določen postopek,</w:t>
      </w:r>
      <w:r w:rsidR="00AF328D" w:rsidRPr="00A85720">
        <w:rPr>
          <w:rFonts w:ascii="Jost" w:eastAsia="Arial" w:hAnsi="Jost" w:cs="Arial"/>
          <w:color w:val="0F0F0F"/>
          <w:spacing w:val="1"/>
          <w:sz w:val="20"/>
          <w:szCs w:val="20"/>
          <w:highlight w:val="yellow"/>
          <w:lang w:eastAsia="en-US"/>
        </w:rPr>
        <w:t xml:space="preserve">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ki zagotavlja sodelovanje občanov pri oblikovanju njihove vsebine, sprejme občinski svet z</w:t>
      </w:r>
      <w:r w:rsidR="00AF328D" w:rsidRPr="00A85720">
        <w:rPr>
          <w:rFonts w:ascii="Jost" w:eastAsia="Arial" w:hAnsi="Jost" w:cs="Arial"/>
          <w:color w:val="0F0F0F"/>
          <w:spacing w:val="1"/>
          <w:sz w:val="20"/>
          <w:szCs w:val="20"/>
          <w:highlight w:val="yellow"/>
          <w:lang w:eastAsia="en-US"/>
        </w:rPr>
        <w:t xml:space="preserve">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odlokom v eni obravnavi, ki se opravi v skladu z določbami poslovnika, ki urejajo obravnavo</w:t>
      </w:r>
      <w:r w:rsidR="00AF328D" w:rsidRPr="00A85720">
        <w:rPr>
          <w:rFonts w:ascii="Jost" w:eastAsia="Arial" w:hAnsi="Jost" w:cs="Arial"/>
          <w:color w:val="0F0F0F"/>
          <w:spacing w:val="1"/>
          <w:sz w:val="20"/>
          <w:szCs w:val="20"/>
          <w:highlight w:val="yellow"/>
          <w:lang w:eastAsia="en-US"/>
        </w:rPr>
        <w:t xml:space="preserve">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predloga</w:t>
      </w:r>
      <w:r w:rsidR="00AF328D" w:rsidRPr="00A85720">
        <w:rPr>
          <w:rFonts w:ascii="Jost" w:eastAsia="Arial" w:hAnsi="Jost" w:cs="Arial"/>
          <w:color w:val="0F0F0F"/>
          <w:spacing w:val="18"/>
          <w:sz w:val="20"/>
          <w:szCs w:val="20"/>
          <w:highlight w:val="yellow"/>
          <w:lang w:eastAsia="en-US"/>
        </w:rPr>
        <w:t xml:space="preserve"> </w:t>
      </w:r>
      <w:r w:rsidR="00AF328D" w:rsidRPr="00A85720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>odloka.</w:t>
      </w:r>
      <w:r w:rsidR="004A19BA">
        <w:rPr>
          <w:rFonts w:ascii="Jost" w:eastAsia="Arial" w:hAnsi="Jost" w:cs="Arial"/>
          <w:color w:val="0F0F0F"/>
          <w:sz w:val="20"/>
          <w:szCs w:val="20"/>
          <w:highlight w:val="yellow"/>
          <w:lang w:eastAsia="en-US"/>
        </w:rPr>
        <w:t xml:space="preserve"> </w:t>
      </w:r>
      <w:r w:rsidR="004A19BA" w:rsidRPr="004A19BA">
        <w:rPr>
          <w:rFonts w:ascii="Jost" w:eastAsia="Arial" w:hAnsi="Jost" w:cs="Arial"/>
          <w:color w:val="0F0F0F"/>
          <w:sz w:val="20"/>
          <w:szCs w:val="20"/>
          <w:lang w:eastAsia="en-US"/>
        </w:rPr>
        <w:t>– ta del naj prosim preveri vaša pravna služba</w:t>
      </w:r>
      <w:r w:rsidR="004A19BA">
        <w:rPr>
          <w:rFonts w:ascii="Jost" w:eastAsia="Arial" w:hAnsi="Jost" w:cs="Arial"/>
          <w:color w:val="0F0F0F"/>
          <w:sz w:val="20"/>
          <w:szCs w:val="20"/>
          <w:lang w:eastAsia="en-US"/>
        </w:rPr>
        <w:t>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Tehnična posodobitev </w:t>
      </w:r>
      <w:r w:rsidR="00580B3B">
        <w:rPr>
          <w:rFonts w:ascii="Jost" w:hAnsi="Jost"/>
          <w:sz w:val="20"/>
          <w:szCs w:val="20"/>
        </w:rPr>
        <w:t>O</w:t>
      </w:r>
      <w:r w:rsidRPr="00B73A88">
        <w:rPr>
          <w:rFonts w:ascii="Jost" w:hAnsi="Jost"/>
          <w:sz w:val="20"/>
          <w:szCs w:val="20"/>
        </w:rPr>
        <w:t xml:space="preserve">bčinskega prostorskega načrta Občine </w:t>
      </w:r>
      <w:r w:rsidR="00AF3F9B">
        <w:rPr>
          <w:rFonts w:ascii="Jost" w:hAnsi="Jost"/>
          <w:sz w:val="20"/>
          <w:szCs w:val="20"/>
        </w:rPr>
        <w:t>Gorišnica</w:t>
      </w:r>
      <w:r w:rsidRPr="00B73A88">
        <w:rPr>
          <w:rFonts w:ascii="Jost" w:hAnsi="Jost"/>
          <w:sz w:val="20"/>
          <w:szCs w:val="20"/>
        </w:rPr>
        <w:t xml:space="preserve"> se izvaja na podlagi Zakona o urejanju prostora (ZUreP-3). Ta v drugem odstavku 142. člena določa, da </w:t>
      </w:r>
      <w:r w:rsidR="00580B3B">
        <w:rPr>
          <w:rFonts w:ascii="Jost" w:hAnsi="Jost"/>
          <w:sz w:val="20"/>
          <w:szCs w:val="20"/>
        </w:rPr>
        <w:t>o</w:t>
      </w:r>
      <w:r w:rsidRPr="00B73A88">
        <w:rPr>
          <w:rFonts w:ascii="Jost" w:hAnsi="Jost"/>
          <w:sz w:val="20"/>
          <w:szCs w:val="20"/>
        </w:rPr>
        <w:t>bčina osnutek tehnično posodobljenega občinskega prostorskega izvedbenega akta objavi v prostorskem informacijskem sistemu. Javnosti se omogoči dajanje predlogov in pripomb na objavljeno gradivo v roku, ki ni krajši od 15 dni. Na podlagi pripomb javnosti občina pripravi predlog tehnično posodobljenega občinskega prostorskega izvedbenega akta.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B73A88">
        <w:rPr>
          <w:rFonts w:ascii="Jost" w:hAnsi="Jost"/>
          <w:sz w:val="20"/>
          <w:szCs w:val="20"/>
        </w:rPr>
        <w:t xml:space="preserve">Občina </w:t>
      </w:r>
      <w:r w:rsidR="00AF3F9B">
        <w:rPr>
          <w:rFonts w:ascii="Jost" w:hAnsi="Jost"/>
          <w:sz w:val="20"/>
          <w:szCs w:val="20"/>
        </w:rPr>
        <w:t>Gorišnica</w:t>
      </w:r>
      <w:r w:rsidRPr="00B73A88">
        <w:rPr>
          <w:rFonts w:ascii="Jost" w:hAnsi="Jost"/>
          <w:sz w:val="20"/>
          <w:szCs w:val="20"/>
        </w:rPr>
        <w:t xml:space="preserve"> je osnutek tehnično posodobljenega občinskega prostorskega načrta </w:t>
      </w:r>
      <w:r>
        <w:rPr>
          <w:rFonts w:ascii="Jost" w:hAnsi="Jost"/>
          <w:sz w:val="20"/>
          <w:szCs w:val="20"/>
        </w:rPr>
        <w:t xml:space="preserve">poslala Ministrstvu za naraven vire in prostor, da ga tehnično </w:t>
      </w:r>
      <w:r w:rsidRPr="008746AC">
        <w:rPr>
          <w:rFonts w:ascii="Jost" w:hAnsi="Jost"/>
          <w:sz w:val="20"/>
          <w:szCs w:val="20"/>
        </w:rPr>
        <w:t>pregleda in objavi v svojem  prostorskem informacijskem sistemu</w:t>
      </w:r>
      <w:r w:rsidR="00580B3B">
        <w:rPr>
          <w:rFonts w:ascii="Jost" w:hAnsi="Jost"/>
          <w:sz w:val="20"/>
          <w:szCs w:val="20"/>
        </w:rPr>
        <w:t xml:space="preserve"> </w:t>
      </w:r>
      <w:r>
        <w:rPr>
          <w:rFonts w:ascii="Jost" w:hAnsi="Jost"/>
          <w:sz w:val="20"/>
          <w:szCs w:val="20"/>
        </w:rPr>
        <w:t>(</w:t>
      </w:r>
      <w:r w:rsidR="00580B3B">
        <w:rPr>
          <w:rFonts w:ascii="Jost" w:hAnsi="Jost"/>
          <w:sz w:val="20"/>
          <w:szCs w:val="20"/>
        </w:rPr>
        <w:t>maj</w:t>
      </w:r>
      <w:r>
        <w:rPr>
          <w:rFonts w:ascii="Jost" w:hAnsi="Jost"/>
          <w:sz w:val="20"/>
          <w:szCs w:val="20"/>
        </w:rPr>
        <w:t xml:space="preserve"> 202</w:t>
      </w:r>
      <w:r w:rsidR="00580B3B">
        <w:rPr>
          <w:rFonts w:ascii="Jost" w:hAnsi="Jost"/>
          <w:sz w:val="20"/>
          <w:szCs w:val="20"/>
        </w:rPr>
        <w:t>5</w:t>
      </w:r>
      <w:r w:rsidRPr="00390C97">
        <w:rPr>
          <w:rFonts w:ascii="Jost" w:hAnsi="Jost"/>
          <w:sz w:val="20"/>
          <w:szCs w:val="20"/>
        </w:rPr>
        <w:t xml:space="preserve">). Z javnim naznanilom je bilo javnosti od </w:t>
      </w:r>
      <w:r w:rsidR="00AF3F9B">
        <w:rPr>
          <w:rFonts w:ascii="Jost" w:hAnsi="Jost"/>
          <w:sz w:val="20"/>
          <w:szCs w:val="20"/>
        </w:rPr>
        <w:t>9</w:t>
      </w:r>
      <w:r w:rsidRPr="00390C97">
        <w:rPr>
          <w:rFonts w:ascii="Jost" w:hAnsi="Jost"/>
          <w:sz w:val="20"/>
          <w:szCs w:val="20"/>
        </w:rPr>
        <w:t xml:space="preserve">. </w:t>
      </w:r>
      <w:r w:rsidR="00580B3B">
        <w:rPr>
          <w:rFonts w:ascii="Jost" w:hAnsi="Jost"/>
          <w:sz w:val="20"/>
          <w:szCs w:val="20"/>
        </w:rPr>
        <w:t>6</w:t>
      </w:r>
      <w:r w:rsidRPr="00390C97">
        <w:rPr>
          <w:rFonts w:ascii="Jost" w:hAnsi="Jost"/>
          <w:sz w:val="20"/>
          <w:szCs w:val="20"/>
        </w:rPr>
        <w:t>. 202</w:t>
      </w:r>
      <w:r w:rsidR="00580B3B">
        <w:rPr>
          <w:rFonts w:ascii="Jost" w:hAnsi="Jost"/>
          <w:sz w:val="20"/>
          <w:szCs w:val="20"/>
        </w:rPr>
        <w:t>5</w:t>
      </w:r>
      <w:r w:rsidRPr="00390C97">
        <w:rPr>
          <w:rFonts w:ascii="Jost" w:hAnsi="Jost"/>
          <w:sz w:val="20"/>
          <w:szCs w:val="20"/>
        </w:rPr>
        <w:t xml:space="preserve"> do vključno </w:t>
      </w:r>
      <w:r w:rsidR="00580B3B">
        <w:rPr>
          <w:rFonts w:ascii="Jost" w:hAnsi="Jost"/>
          <w:sz w:val="20"/>
          <w:szCs w:val="20"/>
        </w:rPr>
        <w:t>2</w:t>
      </w:r>
      <w:r w:rsidR="00AF3F9B">
        <w:rPr>
          <w:rFonts w:ascii="Jost" w:hAnsi="Jost"/>
          <w:sz w:val="20"/>
          <w:szCs w:val="20"/>
        </w:rPr>
        <w:t>4</w:t>
      </w:r>
      <w:r w:rsidRPr="00390C97">
        <w:rPr>
          <w:rFonts w:ascii="Jost" w:hAnsi="Jost"/>
          <w:sz w:val="20"/>
          <w:szCs w:val="20"/>
        </w:rPr>
        <w:t xml:space="preserve">. </w:t>
      </w:r>
      <w:r w:rsidR="00580B3B">
        <w:rPr>
          <w:rFonts w:ascii="Jost" w:hAnsi="Jost"/>
          <w:sz w:val="20"/>
          <w:szCs w:val="20"/>
        </w:rPr>
        <w:t>6</w:t>
      </w:r>
      <w:r w:rsidRPr="00390C97">
        <w:rPr>
          <w:rFonts w:ascii="Jost" w:hAnsi="Jost"/>
          <w:sz w:val="20"/>
          <w:szCs w:val="20"/>
        </w:rPr>
        <w:t>.</w:t>
      </w:r>
      <w:r w:rsidR="00580B3B">
        <w:rPr>
          <w:rFonts w:ascii="Jost" w:hAnsi="Jost"/>
          <w:sz w:val="20"/>
          <w:szCs w:val="20"/>
        </w:rPr>
        <w:t xml:space="preserve"> </w:t>
      </w:r>
      <w:r w:rsidRPr="00390C97">
        <w:rPr>
          <w:rFonts w:ascii="Jost" w:hAnsi="Jost"/>
          <w:sz w:val="20"/>
          <w:szCs w:val="20"/>
        </w:rPr>
        <w:t>202</w:t>
      </w:r>
      <w:r w:rsidR="00580B3B">
        <w:rPr>
          <w:rFonts w:ascii="Jost" w:hAnsi="Jost"/>
          <w:sz w:val="20"/>
          <w:szCs w:val="20"/>
        </w:rPr>
        <w:t>5</w:t>
      </w:r>
      <w:r w:rsidRPr="00390C97">
        <w:rPr>
          <w:rFonts w:ascii="Jost" w:hAnsi="Jost"/>
          <w:sz w:val="20"/>
          <w:szCs w:val="20"/>
        </w:rPr>
        <w:t xml:space="preserve"> omogočeno dajanje predlogov in pripomb na objavljeno gradivo. Ob ugotovitvi, da javnost ni dala pripomb,  je bil pripravljen </w:t>
      </w:r>
      <w:r w:rsidR="00580B3B">
        <w:rPr>
          <w:rFonts w:ascii="Jost" w:hAnsi="Jost"/>
          <w:sz w:val="20"/>
          <w:szCs w:val="20"/>
        </w:rPr>
        <w:t>p</w:t>
      </w:r>
      <w:r w:rsidRPr="00390C97">
        <w:rPr>
          <w:rFonts w:ascii="Jost" w:hAnsi="Jost"/>
          <w:sz w:val="20"/>
          <w:szCs w:val="20"/>
        </w:rPr>
        <w:t xml:space="preserve">redlog </w:t>
      </w:r>
      <w:r w:rsidR="00580B3B">
        <w:rPr>
          <w:rFonts w:ascii="Jost" w:hAnsi="Jost"/>
          <w:sz w:val="20"/>
          <w:szCs w:val="20"/>
        </w:rPr>
        <w:t>t</w:t>
      </w:r>
      <w:r w:rsidRPr="00390C97">
        <w:rPr>
          <w:rFonts w:ascii="Jost" w:hAnsi="Jost"/>
          <w:sz w:val="20"/>
          <w:szCs w:val="20"/>
        </w:rPr>
        <w:t xml:space="preserve">ehnične posodobitve občinskega prostorskega načrta </w:t>
      </w:r>
      <w:bookmarkStart w:id="0" w:name="_GoBack"/>
      <w:bookmarkEnd w:id="0"/>
      <w:r w:rsidRPr="00390C97">
        <w:rPr>
          <w:rFonts w:ascii="Jost" w:hAnsi="Jost"/>
          <w:sz w:val="20"/>
          <w:szCs w:val="20"/>
        </w:rPr>
        <w:t xml:space="preserve">Občine </w:t>
      </w:r>
      <w:r w:rsidR="00AF3F9B">
        <w:rPr>
          <w:rFonts w:ascii="Jost" w:hAnsi="Jost"/>
          <w:sz w:val="20"/>
          <w:szCs w:val="20"/>
        </w:rPr>
        <w:t>Gorišnica</w:t>
      </w:r>
      <w:r w:rsidRPr="00390C97">
        <w:rPr>
          <w:rFonts w:ascii="Jost" w:hAnsi="Jost"/>
          <w:sz w:val="20"/>
          <w:szCs w:val="20"/>
        </w:rPr>
        <w:t>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trike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 w:rsidRPr="00390C97">
        <w:rPr>
          <w:rFonts w:ascii="Jost" w:hAnsi="Jost"/>
          <w:sz w:val="20"/>
          <w:szCs w:val="20"/>
        </w:rPr>
        <w:t xml:space="preserve">Glede na navedeno so izpolnjeni pogoji, da se postopek sprejema Sklepa o tehnični posodobitvi </w:t>
      </w:r>
      <w:r w:rsidR="00580B3B">
        <w:rPr>
          <w:rFonts w:ascii="Jost" w:hAnsi="Jost"/>
          <w:sz w:val="20"/>
          <w:szCs w:val="20"/>
        </w:rPr>
        <w:t>grafičnega prikaza namenske rabe prostora</w:t>
      </w:r>
      <w:r w:rsidR="00580B3B" w:rsidRPr="00B73A88">
        <w:rPr>
          <w:rFonts w:ascii="Jost" w:hAnsi="Jost"/>
          <w:sz w:val="20"/>
          <w:szCs w:val="20"/>
        </w:rPr>
        <w:t xml:space="preserve"> Občinskega prostorskega načrta Občine </w:t>
      </w:r>
      <w:r w:rsidR="00AF3F9B">
        <w:rPr>
          <w:rFonts w:ascii="Jost" w:hAnsi="Jost"/>
          <w:sz w:val="20"/>
          <w:szCs w:val="20"/>
        </w:rPr>
        <w:t>Gorišnica</w:t>
      </w:r>
      <w:r w:rsidRPr="00390C97">
        <w:rPr>
          <w:rFonts w:ascii="Jost" w:hAnsi="Jost"/>
          <w:sz w:val="20"/>
          <w:szCs w:val="20"/>
        </w:rPr>
        <w:t>, izvede v eni obravnavi.</w:t>
      </w: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B73A88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AF328D" w:rsidRPr="00580B3B" w:rsidRDefault="00AF328D" w:rsidP="00AF328D">
      <w:pPr>
        <w:spacing w:after="0" w:line="240" w:lineRule="auto"/>
        <w:jc w:val="both"/>
        <w:rPr>
          <w:rFonts w:ascii="Jost" w:hAnsi="Jost"/>
          <w:b/>
          <w:sz w:val="20"/>
          <w:szCs w:val="20"/>
        </w:rPr>
      </w:pPr>
      <w:r w:rsidRPr="00580B3B">
        <w:rPr>
          <w:rFonts w:ascii="Jost" w:hAnsi="Jost"/>
          <w:b/>
          <w:sz w:val="20"/>
          <w:szCs w:val="20"/>
        </w:rPr>
        <w:t>PREDLOG SKLEPA</w:t>
      </w:r>
    </w:p>
    <w:p w:rsidR="00AF328D" w:rsidRPr="00390C97" w:rsidRDefault="00580B3B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  <w:r>
        <w:rPr>
          <w:rFonts w:ascii="Jost" w:hAnsi="Jost"/>
          <w:sz w:val="20"/>
          <w:szCs w:val="20"/>
        </w:rPr>
        <w:t>Občinskemu s</w:t>
      </w:r>
      <w:r w:rsidR="00AF328D" w:rsidRPr="00390C97">
        <w:rPr>
          <w:rFonts w:ascii="Jost" w:hAnsi="Jost"/>
          <w:sz w:val="20"/>
          <w:szCs w:val="20"/>
        </w:rPr>
        <w:t xml:space="preserve">vetu občine </w:t>
      </w:r>
      <w:r w:rsidR="00AF3F9B">
        <w:rPr>
          <w:rFonts w:ascii="Jost" w:hAnsi="Jost"/>
          <w:sz w:val="20"/>
          <w:szCs w:val="20"/>
        </w:rPr>
        <w:t>Gorišnica</w:t>
      </w:r>
      <w:r w:rsidR="00AF328D" w:rsidRPr="00390C97">
        <w:rPr>
          <w:rFonts w:ascii="Jost" w:hAnsi="Jost"/>
          <w:sz w:val="20"/>
          <w:szCs w:val="20"/>
        </w:rPr>
        <w:t xml:space="preserve"> predlagamo, da po obravnavi gradiva sprejme sklep:</w:t>
      </w:r>
    </w:p>
    <w:p w:rsidR="00AF328D" w:rsidRPr="00390C97" w:rsidRDefault="00AF328D" w:rsidP="00AF328D">
      <w:pPr>
        <w:spacing w:after="0" w:line="240" w:lineRule="auto"/>
        <w:jc w:val="both"/>
        <w:rPr>
          <w:rFonts w:ascii="Jost" w:hAnsi="Jost"/>
          <w:sz w:val="20"/>
          <w:szCs w:val="20"/>
        </w:rPr>
      </w:pPr>
    </w:p>
    <w:p w:rsidR="00951805" w:rsidRDefault="00AF328D" w:rsidP="00AF328D">
      <w:r w:rsidRPr="00390C97">
        <w:rPr>
          <w:rFonts w:ascii="Jost" w:hAnsi="Jost"/>
          <w:sz w:val="20"/>
          <w:szCs w:val="20"/>
        </w:rPr>
        <w:t>Sprejme se »</w:t>
      </w:r>
      <w:r w:rsidR="00580B3B" w:rsidRPr="00390C97">
        <w:rPr>
          <w:rFonts w:ascii="Jost" w:hAnsi="Jost"/>
          <w:sz w:val="20"/>
          <w:szCs w:val="20"/>
        </w:rPr>
        <w:t xml:space="preserve">Sklep o tehnični posodobitvi </w:t>
      </w:r>
      <w:r w:rsidR="00580B3B">
        <w:rPr>
          <w:rFonts w:ascii="Jost" w:hAnsi="Jost"/>
          <w:sz w:val="20"/>
          <w:szCs w:val="20"/>
        </w:rPr>
        <w:t>grafičnega prikaza namenske rabe prostora</w:t>
      </w:r>
      <w:r w:rsidR="00580B3B" w:rsidRPr="00B73A88">
        <w:rPr>
          <w:rFonts w:ascii="Jost" w:hAnsi="Jost"/>
          <w:sz w:val="20"/>
          <w:szCs w:val="20"/>
        </w:rPr>
        <w:t xml:space="preserve"> Občinskega prostorskega načrta Občine </w:t>
      </w:r>
      <w:r w:rsidR="00AF3F9B">
        <w:rPr>
          <w:rFonts w:ascii="Jost" w:hAnsi="Jost"/>
          <w:sz w:val="20"/>
          <w:szCs w:val="20"/>
        </w:rPr>
        <w:t>Gorišnica</w:t>
      </w:r>
      <w:r w:rsidRPr="00390C97">
        <w:rPr>
          <w:rFonts w:ascii="Jost" w:hAnsi="Jost"/>
          <w:sz w:val="20"/>
          <w:szCs w:val="20"/>
        </w:rPr>
        <w:t>«.</w:t>
      </w:r>
    </w:p>
    <w:sectPr w:rsidR="00951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A00DA"/>
    <w:multiLevelType w:val="hybridMultilevel"/>
    <w:tmpl w:val="91BC5056"/>
    <w:lvl w:ilvl="0" w:tplc="5068FCEE">
      <w:numFmt w:val="bullet"/>
      <w:lvlText w:val="-"/>
      <w:lvlJc w:val="left"/>
      <w:pPr>
        <w:ind w:left="825" w:hanging="281"/>
      </w:pPr>
      <w:rPr>
        <w:rFonts w:ascii="Arial" w:eastAsia="Arial" w:hAnsi="Arial" w:cs="Arial" w:hint="default"/>
        <w:color w:val="131313"/>
        <w:w w:val="98"/>
        <w:sz w:val="23"/>
        <w:szCs w:val="23"/>
        <w:lang w:val="sl-SI" w:eastAsia="en-US" w:bidi="ar-SA"/>
      </w:rPr>
    </w:lvl>
    <w:lvl w:ilvl="1" w:tplc="BAA4B39C">
      <w:numFmt w:val="bullet"/>
      <w:lvlText w:val="•"/>
      <w:lvlJc w:val="left"/>
      <w:pPr>
        <w:ind w:left="1808" w:hanging="281"/>
      </w:pPr>
      <w:rPr>
        <w:rFonts w:hint="default"/>
        <w:lang w:val="sl-SI" w:eastAsia="en-US" w:bidi="ar-SA"/>
      </w:rPr>
    </w:lvl>
    <w:lvl w:ilvl="2" w:tplc="E3C8EF74">
      <w:numFmt w:val="bullet"/>
      <w:lvlText w:val="•"/>
      <w:lvlJc w:val="left"/>
      <w:pPr>
        <w:ind w:left="2796" w:hanging="281"/>
      </w:pPr>
      <w:rPr>
        <w:rFonts w:hint="default"/>
        <w:lang w:val="sl-SI" w:eastAsia="en-US" w:bidi="ar-SA"/>
      </w:rPr>
    </w:lvl>
    <w:lvl w:ilvl="3" w:tplc="B30A2AC2">
      <w:numFmt w:val="bullet"/>
      <w:lvlText w:val="•"/>
      <w:lvlJc w:val="left"/>
      <w:pPr>
        <w:ind w:left="3785" w:hanging="281"/>
      </w:pPr>
      <w:rPr>
        <w:rFonts w:hint="default"/>
        <w:lang w:val="sl-SI" w:eastAsia="en-US" w:bidi="ar-SA"/>
      </w:rPr>
    </w:lvl>
    <w:lvl w:ilvl="4" w:tplc="B04022DE">
      <w:numFmt w:val="bullet"/>
      <w:lvlText w:val="•"/>
      <w:lvlJc w:val="left"/>
      <w:pPr>
        <w:ind w:left="4773" w:hanging="281"/>
      </w:pPr>
      <w:rPr>
        <w:rFonts w:hint="default"/>
        <w:lang w:val="sl-SI" w:eastAsia="en-US" w:bidi="ar-SA"/>
      </w:rPr>
    </w:lvl>
    <w:lvl w:ilvl="5" w:tplc="1DFE130A">
      <w:numFmt w:val="bullet"/>
      <w:lvlText w:val="•"/>
      <w:lvlJc w:val="left"/>
      <w:pPr>
        <w:ind w:left="5762" w:hanging="281"/>
      </w:pPr>
      <w:rPr>
        <w:rFonts w:hint="default"/>
        <w:lang w:val="sl-SI" w:eastAsia="en-US" w:bidi="ar-SA"/>
      </w:rPr>
    </w:lvl>
    <w:lvl w:ilvl="6" w:tplc="EA2E7EA4">
      <w:numFmt w:val="bullet"/>
      <w:lvlText w:val="•"/>
      <w:lvlJc w:val="left"/>
      <w:pPr>
        <w:ind w:left="6750" w:hanging="281"/>
      </w:pPr>
      <w:rPr>
        <w:rFonts w:hint="default"/>
        <w:lang w:val="sl-SI" w:eastAsia="en-US" w:bidi="ar-SA"/>
      </w:rPr>
    </w:lvl>
    <w:lvl w:ilvl="7" w:tplc="B5B2E48E">
      <w:numFmt w:val="bullet"/>
      <w:lvlText w:val="•"/>
      <w:lvlJc w:val="left"/>
      <w:pPr>
        <w:ind w:left="7738" w:hanging="281"/>
      </w:pPr>
      <w:rPr>
        <w:rFonts w:hint="default"/>
        <w:lang w:val="sl-SI" w:eastAsia="en-US" w:bidi="ar-SA"/>
      </w:rPr>
    </w:lvl>
    <w:lvl w:ilvl="8" w:tplc="9B7ED226">
      <w:numFmt w:val="bullet"/>
      <w:lvlText w:val="•"/>
      <w:lvlJc w:val="left"/>
      <w:pPr>
        <w:ind w:left="8727" w:hanging="28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D"/>
    <w:rsid w:val="002626DB"/>
    <w:rsid w:val="004A19BA"/>
    <w:rsid w:val="00580B3B"/>
    <w:rsid w:val="00892ED2"/>
    <w:rsid w:val="00951805"/>
    <w:rsid w:val="00A83BB3"/>
    <w:rsid w:val="00A85720"/>
    <w:rsid w:val="00AF328D"/>
    <w:rsid w:val="00AF3F9B"/>
    <w:rsid w:val="00C00C09"/>
    <w:rsid w:val="00C517F3"/>
    <w:rsid w:val="00C82EFE"/>
    <w:rsid w:val="00E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12BC"/>
  <w15:chartTrackingRefBased/>
  <w15:docId w15:val="{E804B12C-B032-4A22-8A20-642E72B0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328D"/>
    <w:rPr>
      <w:rFonts w:ascii="Calibri" w:eastAsia="Calibri" w:hAnsi="Calibri" w:cs="Calibri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32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F3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Simenko</dc:creator>
  <cp:keywords/>
  <dc:description/>
  <cp:lastModifiedBy>Robert Simenko</cp:lastModifiedBy>
  <cp:revision>2</cp:revision>
  <dcterms:created xsi:type="dcterms:W3CDTF">2025-07-01T12:25:00Z</dcterms:created>
  <dcterms:modified xsi:type="dcterms:W3CDTF">2025-07-01T12:25:00Z</dcterms:modified>
</cp:coreProperties>
</file>