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982" w:rsidRDefault="008653C9">
      <w:pPr>
        <w:pStyle w:val="Telobesedila"/>
        <w:spacing w:before="80" w:line="244" w:lineRule="auto"/>
        <w:ind w:left="8389" w:right="143" w:hanging="144"/>
        <w:jc w:val="right"/>
      </w:pPr>
      <w:r>
        <w:rPr>
          <w:spacing w:val="-2"/>
        </w:rPr>
        <w:t>PREDLOG</w:t>
      </w:r>
      <w:r>
        <w:rPr>
          <w:spacing w:val="-2"/>
        </w:rPr>
        <w:t xml:space="preserve"> </w:t>
      </w:r>
      <w:r>
        <w:t>Julij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:rsidR="007A2982" w:rsidRDefault="007A2982">
      <w:pPr>
        <w:pStyle w:val="Telobesedila"/>
      </w:pPr>
    </w:p>
    <w:p w:rsidR="007A2982" w:rsidRDefault="007A2982">
      <w:pPr>
        <w:pStyle w:val="Telobesedila"/>
      </w:pPr>
    </w:p>
    <w:p w:rsidR="007A2982" w:rsidRDefault="007A2982">
      <w:pPr>
        <w:pStyle w:val="Telobesedila"/>
        <w:spacing w:before="136"/>
      </w:pPr>
    </w:p>
    <w:p w:rsidR="007A2982" w:rsidRDefault="008653C9" w:rsidP="008653C9">
      <w:pPr>
        <w:pStyle w:val="Telobesedila"/>
        <w:tabs>
          <w:tab w:val="left" w:leader="dot" w:pos="8065"/>
        </w:tabs>
        <w:spacing w:line="264" w:lineRule="auto"/>
        <w:ind w:left="141" w:right="140"/>
        <w:jc w:val="both"/>
      </w:pPr>
      <w:r>
        <w:t xml:space="preserve">Na podlagi 141. in 142. člena Zakona o urejanju prostora (Uradni list RS, št. 199/21, 18/23 - ZDU-1O, 78/23 - ZUNPEOVE, 95/23 - ZIUOPZP, 23/24, </w:t>
      </w:r>
      <w:r>
        <w:t xml:space="preserve">109/24 in 25/25 – </w:t>
      </w:r>
      <w:proofErr w:type="spellStart"/>
      <w:r>
        <w:t>odl</w:t>
      </w:r>
      <w:proofErr w:type="spellEnd"/>
      <w:r>
        <w:t>. US</w:t>
      </w:r>
      <w:r>
        <w:t>) ter 7. in 15. člena Statuta Občine Gorišnica (UGSO, št. 57/17, 21/23)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Občinski svet Občine</w:t>
      </w:r>
      <w:r>
        <w:rPr>
          <w:spacing w:val="-1"/>
        </w:rPr>
        <w:t xml:space="preserve"> </w:t>
      </w:r>
      <w:r>
        <w:t xml:space="preserve">Gorišnica </w:t>
      </w:r>
      <w:r w:rsidRPr="008653C9">
        <w:rPr>
          <w:highlight w:val="yellow"/>
        </w:rPr>
        <w:t>na</w:t>
      </w:r>
      <w:r w:rsidRPr="008653C9">
        <w:rPr>
          <w:spacing w:val="2"/>
          <w:highlight w:val="yellow"/>
        </w:rPr>
        <w:t xml:space="preserve"> </w:t>
      </w:r>
      <w:r w:rsidRPr="008653C9">
        <w:rPr>
          <w:rFonts w:ascii="Times New Roman" w:hAnsi="Times New Roman"/>
          <w:spacing w:val="52"/>
          <w:highlight w:val="yellow"/>
          <w:u w:val="single"/>
        </w:rPr>
        <w:t xml:space="preserve">  </w:t>
      </w:r>
      <w:r w:rsidRPr="008653C9">
        <w:rPr>
          <w:highlight w:val="yellow"/>
        </w:rPr>
        <w:t>.</w:t>
      </w:r>
      <w:r w:rsidRPr="008653C9">
        <w:rPr>
          <w:spacing w:val="1"/>
          <w:highlight w:val="yellow"/>
        </w:rPr>
        <w:t xml:space="preserve"> </w:t>
      </w:r>
      <w:r w:rsidRPr="008653C9">
        <w:rPr>
          <w:highlight w:val="yellow"/>
        </w:rPr>
        <w:t xml:space="preserve">redni seji, </w:t>
      </w:r>
      <w:r w:rsidRPr="008653C9">
        <w:rPr>
          <w:spacing w:val="-5"/>
          <w:highlight w:val="yellow"/>
        </w:rPr>
        <w:t>dne</w:t>
      </w:r>
      <w:r w:rsidRPr="008653C9">
        <w:rPr>
          <w:rFonts w:ascii="Times New Roman" w:hAnsi="Times New Roman"/>
          <w:highlight w:val="yellow"/>
        </w:rPr>
        <w:t xml:space="preserve"> __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spacing w:val="-5"/>
        </w:rPr>
        <w:t xml:space="preserve"> </w:t>
      </w:r>
      <w:r>
        <w:rPr>
          <w:spacing w:val="-2"/>
        </w:rPr>
        <w:t>sprejel</w:t>
      </w:r>
      <w:r>
        <w:t xml:space="preserve"> </w:t>
      </w:r>
      <w:r>
        <w:rPr>
          <w:spacing w:val="-2"/>
        </w:rPr>
        <w:t>naslednji</w:t>
      </w:r>
    </w:p>
    <w:p w:rsidR="007A2982" w:rsidRDefault="007A2982">
      <w:pPr>
        <w:pStyle w:val="Telobesedila"/>
      </w:pPr>
    </w:p>
    <w:p w:rsidR="007A2982" w:rsidRDefault="007A2982">
      <w:pPr>
        <w:pStyle w:val="Telobesedila"/>
        <w:spacing w:before="136"/>
      </w:pPr>
    </w:p>
    <w:p w:rsidR="007A2982" w:rsidRDefault="008653C9">
      <w:pPr>
        <w:ind w:left="989" w:right="99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K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E </w:t>
      </w:r>
      <w:r>
        <w:rPr>
          <w:rFonts w:ascii="Arial"/>
          <w:b/>
          <w:spacing w:val="-10"/>
          <w:sz w:val="20"/>
        </w:rPr>
        <w:t>P</w:t>
      </w:r>
    </w:p>
    <w:p w:rsidR="007A2982" w:rsidRDefault="008653C9">
      <w:pPr>
        <w:spacing w:before="178" w:line="256" w:lineRule="auto"/>
        <w:ind w:left="989" w:right="9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tehnični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posodobitvi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grafičnega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prikaza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namenske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rabe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prostora Občinskega prostorskega načrta Občine Gorišnica</w:t>
      </w:r>
      <w:bookmarkStart w:id="0" w:name="_GoBack"/>
      <w:bookmarkEnd w:id="0"/>
    </w:p>
    <w:p w:rsidR="007A2982" w:rsidRDefault="007A2982">
      <w:pPr>
        <w:pStyle w:val="Telobesedila"/>
        <w:rPr>
          <w:rFonts w:ascii="Arial"/>
          <w:b/>
        </w:rPr>
      </w:pPr>
    </w:p>
    <w:p w:rsidR="007A2982" w:rsidRDefault="007A2982">
      <w:pPr>
        <w:pStyle w:val="Telobesedila"/>
        <w:spacing w:before="114"/>
        <w:rPr>
          <w:rFonts w:ascii="Arial"/>
          <w:b/>
        </w:rPr>
      </w:pPr>
    </w:p>
    <w:p w:rsidR="007A2982" w:rsidRDefault="008653C9">
      <w:pPr>
        <w:pStyle w:val="Odstavekseznama"/>
        <w:numPr>
          <w:ilvl w:val="0"/>
          <w:numId w:val="2"/>
        </w:numPr>
        <w:tabs>
          <w:tab w:val="left" w:pos="4850"/>
        </w:tabs>
        <w:ind w:left="4850" w:hanging="358"/>
        <w:rPr>
          <w:sz w:val="20"/>
        </w:rPr>
      </w:pPr>
      <w:r>
        <w:rPr>
          <w:spacing w:val="-4"/>
          <w:sz w:val="20"/>
        </w:rPr>
        <w:t>člen</w:t>
      </w:r>
    </w:p>
    <w:p w:rsidR="007A2982" w:rsidRDefault="008653C9">
      <w:pPr>
        <w:pStyle w:val="Telobesedila"/>
        <w:spacing w:before="182" w:line="264" w:lineRule="auto"/>
        <w:ind w:left="141" w:right="143"/>
        <w:jc w:val="both"/>
      </w:pPr>
      <w:r>
        <w:t>S tem sklepom se sprejme tehnično posodobljen grafični prikaz namenske rabe prostora Občinskega prostorskega načrta Občine Gorišnica</w:t>
      </w:r>
    </w:p>
    <w:p w:rsidR="007A2982" w:rsidRDefault="007A2982">
      <w:pPr>
        <w:pStyle w:val="Telobesedila"/>
        <w:spacing w:before="10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091"/>
      </w:tblGrid>
      <w:tr w:rsidR="007A2982">
        <w:trPr>
          <w:trHeight w:val="460"/>
        </w:trPr>
        <w:tc>
          <w:tcPr>
            <w:tcW w:w="2971" w:type="dxa"/>
          </w:tcPr>
          <w:p w:rsidR="007A2982" w:rsidRDefault="008653C9">
            <w:pPr>
              <w:pStyle w:val="TableParagraph"/>
              <w:spacing w:line="230" w:lineRule="exact"/>
              <w:ind w:right="11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Naziv</w:t>
            </w:r>
            <w:r>
              <w:rPr>
                <w:rFonts w:asci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prostorskega izvedbenega akta:</w:t>
            </w:r>
          </w:p>
        </w:tc>
        <w:tc>
          <w:tcPr>
            <w:tcW w:w="6091" w:type="dxa"/>
          </w:tcPr>
          <w:p w:rsidR="007A2982" w:rsidRDefault="008653C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Tehnična posodobitev grafičnega prikaza namenske rabe prostora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Občinskega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prostorskega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načrta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Občine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Gorišnica_</w:t>
            </w:r>
          </w:p>
        </w:tc>
      </w:tr>
      <w:tr w:rsidR="007A2982">
        <w:trPr>
          <w:trHeight w:val="688"/>
        </w:trPr>
        <w:tc>
          <w:tcPr>
            <w:tcW w:w="2971" w:type="dxa"/>
          </w:tcPr>
          <w:p w:rsidR="007A2982" w:rsidRDefault="008653C9">
            <w:pPr>
              <w:pStyle w:val="TableParagraph"/>
              <w:spacing w:before="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Identifikacijska številka prostorskega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akta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zbirki</w:t>
            </w:r>
          </w:p>
          <w:p w:rsidR="007A2982" w:rsidRDefault="008653C9">
            <w:pPr>
              <w:pStyle w:val="TableParagraph"/>
              <w:spacing w:before="6" w:line="207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prostorskih</w:t>
            </w:r>
            <w:r>
              <w:rPr>
                <w:rFonts w:asci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aktov:</w:t>
            </w:r>
          </w:p>
        </w:tc>
        <w:tc>
          <w:tcPr>
            <w:tcW w:w="6091" w:type="dxa"/>
          </w:tcPr>
          <w:p w:rsidR="007A2982" w:rsidRDefault="007A2982">
            <w:pPr>
              <w:pStyle w:val="TableParagraph"/>
              <w:spacing w:before="1"/>
              <w:ind w:left="0"/>
              <w:rPr>
                <w:rFonts w:ascii="Microsoft Sans Serif"/>
                <w:sz w:val="20"/>
              </w:rPr>
            </w:pPr>
          </w:p>
          <w:p w:rsidR="007A2982" w:rsidRDefault="008653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5239</w:t>
            </w:r>
          </w:p>
        </w:tc>
      </w:tr>
    </w:tbl>
    <w:p w:rsidR="007A2982" w:rsidRDefault="007A2982">
      <w:pPr>
        <w:pStyle w:val="Telobesedila"/>
        <w:spacing w:before="187"/>
      </w:pPr>
    </w:p>
    <w:p w:rsidR="007A2982" w:rsidRDefault="008653C9">
      <w:pPr>
        <w:pStyle w:val="Odstavekseznama"/>
        <w:numPr>
          <w:ilvl w:val="0"/>
          <w:numId w:val="2"/>
        </w:numPr>
        <w:tabs>
          <w:tab w:val="left" w:pos="4850"/>
        </w:tabs>
        <w:ind w:left="4850" w:hanging="358"/>
        <w:rPr>
          <w:sz w:val="20"/>
        </w:rPr>
      </w:pPr>
      <w:r>
        <w:rPr>
          <w:spacing w:val="-4"/>
          <w:sz w:val="20"/>
        </w:rPr>
        <w:t>člen</w:t>
      </w:r>
    </w:p>
    <w:p w:rsidR="007A2982" w:rsidRDefault="008653C9">
      <w:pPr>
        <w:pStyle w:val="Telobesedila"/>
        <w:spacing w:before="182" w:line="261" w:lineRule="auto"/>
        <w:ind w:left="141" w:right="143"/>
        <w:jc w:val="both"/>
      </w:pPr>
      <w:r>
        <w:t>S tehnično posodobitvijo se zagotavlja ažurnost grafičnega dela prostorskega izvedbenega akta s katastrom</w:t>
      </w:r>
      <w:r>
        <w:rPr>
          <w:spacing w:val="-2"/>
        </w:rPr>
        <w:t xml:space="preserve"> </w:t>
      </w:r>
      <w:r>
        <w:t>nepremičnin.</w:t>
      </w:r>
      <w:r>
        <w:rPr>
          <w:spacing w:val="-8"/>
        </w:rPr>
        <w:t xml:space="preserve"> </w:t>
      </w:r>
      <w:r>
        <w:t>Tehnična</w:t>
      </w:r>
      <w:r>
        <w:rPr>
          <w:spacing w:val="-2"/>
        </w:rPr>
        <w:t xml:space="preserve"> </w:t>
      </w:r>
      <w:r>
        <w:t>uskladitev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izvedena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stanje</w:t>
      </w:r>
      <w:r>
        <w:rPr>
          <w:spacing w:val="-2"/>
        </w:rPr>
        <w:t xml:space="preserve"> </w:t>
      </w:r>
      <w:r>
        <w:t>parcel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katastra</w:t>
      </w:r>
      <w:r>
        <w:rPr>
          <w:spacing w:val="-5"/>
        </w:rPr>
        <w:t xml:space="preserve"> </w:t>
      </w:r>
      <w:r>
        <w:t>nepremičnin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dne </w:t>
      </w:r>
      <w:r>
        <w:rPr>
          <w:spacing w:val="-2"/>
        </w:rPr>
        <w:t>6.4.2025.</w:t>
      </w:r>
    </w:p>
    <w:p w:rsidR="007A2982" w:rsidRDefault="008653C9">
      <w:pPr>
        <w:pStyle w:val="Odstavekseznama"/>
        <w:numPr>
          <w:ilvl w:val="0"/>
          <w:numId w:val="2"/>
        </w:numPr>
        <w:tabs>
          <w:tab w:val="left" w:pos="4850"/>
        </w:tabs>
        <w:spacing w:before="164"/>
        <w:ind w:left="4850" w:hanging="358"/>
        <w:rPr>
          <w:sz w:val="20"/>
        </w:rPr>
      </w:pPr>
      <w:r>
        <w:rPr>
          <w:spacing w:val="-4"/>
          <w:sz w:val="20"/>
        </w:rPr>
        <w:t>člen</w:t>
      </w:r>
    </w:p>
    <w:p w:rsidR="007A2982" w:rsidRDefault="008653C9">
      <w:pPr>
        <w:pStyle w:val="Telobesedila"/>
        <w:spacing w:before="182" w:line="261" w:lineRule="auto"/>
        <w:ind w:left="141"/>
      </w:pPr>
      <w:r>
        <w:t>V okviru tehnične posodobitve je grafični del prostorskega izvedbenega akta transformiran v državni</w:t>
      </w:r>
      <w:r>
        <w:rPr>
          <w:spacing w:val="40"/>
        </w:rPr>
        <w:t xml:space="preserve"> </w:t>
      </w:r>
      <w:r>
        <w:t>koordinatni sistem D96/TM.</w:t>
      </w:r>
    </w:p>
    <w:p w:rsidR="007A2982" w:rsidRDefault="008653C9">
      <w:pPr>
        <w:pStyle w:val="Odstavekseznama"/>
        <w:numPr>
          <w:ilvl w:val="0"/>
          <w:numId w:val="2"/>
        </w:numPr>
        <w:tabs>
          <w:tab w:val="left" w:pos="4850"/>
        </w:tabs>
        <w:spacing w:before="162"/>
        <w:ind w:left="4850" w:hanging="358"/>
        <w:rPr>
          <w:sz w:val="20"/>
        </w:rPr>
      </w:pPr>
      <w:r>
        <w:rPr>
          <w:spacing w:val="-4"/>
          <w:sz w:val="20"/>
        </w:rPr>
        <w:t>člen</w:t>
      </w:r>
    </w:p>
    <w:p w:rsidR="007A2982" w:rsidRDefault="008653C9">
      <w:pPr>
        <w:pStyle w:val="Telobesedila"/>
        <w:spacing w:before="181" w:line="264" w:lineRule="auto"/>
        <w:ind w:left="141" w:right="140"/>
        <w:jc w:val="both"/>
      </w:pPr>
      <w:r>
        <w:t xml:space="preserve">Tehnična posodobitev je izvedena za grafični del izvedbenega dela Občinskega prostorskega načrta Občine Gorišnica (Uradno glasilo slovenskih občin, št. 5/16, 57/17 </w:t>
      </w:r>
      <w:r>
        <w:rPr>
          <w:w w:val="160"/>
        </w:rPr>
        <w:t xml:space="preserve">– </w:t>
      </w:r>
      <w:r>
        <w:t>obvezna razlaga, 7/21, v nadaljevanju OPN), ki se v zbirki prostorskih aktov vodi pod iden</w:t>
      </w:r>
      <w:r>
        <w:t>tifikacijskima številkama 606 in 1055.</w:t>
      </w:r>
    </w:p>
    <w:p w:rsidR="007A2982" w:rsidRDefault="007A2982">
      <w:pPr>
        <w:pStyle w:val="Telobesedila"/>
      </w:pPr>
    </w:p>
    <w:p w:rsidR="007A2982" w:rsidRDefault="007A2982">
      <w:pPr>
        <w:pStyle w:val="Telobesedila"/>
        <w:spacing w:before="113"/>
      </w:pPr>
    </w:p>
    <w:p w:rsidR="007A2982" w:rsidRDefault="008653C9">
      <w:pPr>
        <w:pStyle w:val="Odstavekseznama"/>
        <w:numPr>
          <w:ilvl w:val="0"/>
          <w:numId w:val="2"/>
        </w:numPr>
        <w:tabs>
          <w:tab w:val="left" w:pos="4850"/>
        </w:tabs>
        <w:ind w:left="4850" w:hanging="358"/>
        <w:rPr>
          <w:sz w:val="20"/>
        </w:rPr>
      </w:pPr>
      <w:r>
        <w:rPr>
          <w:spacing w:val="-4"/>
          <w:sz w:val="20"/>
        </w:rPr>
        <w:t>člen</w:t>
      </w:r>
    </w:p>
    <w:p w:rsidR="007A2982" w:rsidRDefault="008653C9">
      <w:pPr>
        <w:pStyle w:val="Telobesedila"/>
        <w:spacing w:before="182" w:line="264" w:lineRule="auto"/>
        <w:ind w:left="141" w:right="140"/>
        <w:jc w:val="both"/>
      </w:pPr>
      <w:r>
        <w:t>Grafični prikazi izvedbenega dela OPN, se nadomestijo z grafičnimi prikazi tehnično posodobljenega OPN. Ti grafični prikazi so:</w:t>
      </w:r>
    </w:p>
    <w:p w:rsidR="007A2982" w:rsidRDefault="008653C9">
      <w:pPr>
        <w:pStyle w:val="Odstavekseznama"/>
        <w:numPr>
          <w:ilvl w:val="0"/>
          <w:numId w:val="1"/>
        </w:numPr>
        <w:tabs>
          <w:tab w:val="left" w:pos="860"/>
        </w:tabs>
        <w:spacing w:before="168"/>
        <w:ind w:left="860" w:hanging="359"/>
        <w:rPr>
          <w:sz w:val="20"/>
        </w:rPr>
      </w:pPr>
      <w:r>
        <w:rPr>
          <w:sz w:val="20"/>
        </w:rPr>
        <w:t>pregledna</w:t>
      </w:r>
      <w:r>
        <w:rPr>
          <w:spacing w:val="-5"/>
          <w:sz w:val="20"/>
        </w:rPr>
        <w:t xml:space="preserve"> </w:t>
      </w:r>
      <w:r>
        <w:rPr>
          <w:sz w:val="20"/>
        </w:rPr>
        <w:t>karta</w:t>
      </w:r>
      <w:r>
        <w:rPr>
          <w:spacing w:val="-4"/>
          <w:sz w:val="20"/>
        </w:rPr>
        <w:t xml:space="preserve"> </w:t>
      </w:r>
      <w:r>
        <w:rPr>
          <w:sz w:val="20"/>
        </w:rPr>
        <w:t>občine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razdelitvijo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liste,</w:t>
      </w:r>
    </w:p>
    <w:p w:rsidR="007A2982" w:rsidRDefault="008653C9">
      <w:pPr>
        <w:pStyle w:val="Odstavekseznama"/>
        <w:numPr>
          <w:ilvl w:val="0"/>
          <w:numId w:val="1"/>
        </w:numPr>
        <w:tabs>
          <w:tab w:val="left" w:pos="860"/>
        </w:tabs>
        <w:spacing w:before="27" w:line="259" w:lineRule="auto"/>
        <w:ind w:left="860" w:right="139"/>
        <w:rPr>
          <w:sz w:val="20"/>
        </w:rPr>
      </w:pPr>
      <w:r>
        <w:rPr>
          <w:sz w:val="20"/>
        </w:rPr>
        <w:t>pregledna karta občine s prikazom osnovne namenske rabe in ključnih omrežij gospodarske javne infrastrukture,</w:t>
      </w:r>
    </w:p>
    <w:p w:rsidR="007A2982" w:rsidRDefault="008653C9">
      <w:pPr>
        <w:pStyle w:val="Odstavekseznama"/>
        <w:numPr>
          <w:ilvl w:val="0"/>
          <w:numId w:val="1"/>
        </w:numPr>
        <w:tabs>
          <w:tab w:val="left" w:pos="860"/>
        </w:tabs>
        <w:spacing w:before="11" w:line="259" w:lineRule="auto"/>
        <w:ind w:left="860" w:right="143"/>
        <w:rPr>
          <w:sz w:val="20"/>
        </w:rPr>
      </w:pPr>
      <w:r>
        <w:rPr>
          <w:sz w:val="20"/>
        </w:rPr>
        <w:t>prikaz območij enot urejanja prostora, osnovne oziroma podrobnejše namenske rabe prostora in prostorskih izvedbenih pogojev in</w:t>
      </w:r>
    </w:p>
    <w:p w:rsidR="007A2982" w:rsidRDefault="008653C9">
      <w:pPr>
        <w:pStyle w:val="Odstavekseznama"/>
        <w:numPr>
          <w:ilvl w:val="0"/>
          <w:numId w:val="1"/>
        </w:numPr>
        <w:tabs>
          <w:tab w:val="left" w:pos="860"/>
        </w:tabs>
        <w:spacing w:before="14"/>
        <w:ind w:left="860" w:hanging="359"/>
        <w:rPr>
          <w:sz w:val="20"/>
        </w:rPr>
      </w:pPr>
      <w:r>
        <w:rPr>
          <w:sz w:val="20"/>
        </w:rPr>
        <w:t>prikaz</w:t>
      </w:r>
      <w:r>
        <w:rPr>
          <w:spacing w:val="-3"/>
          <w:sz w:val="20"/>
        </w:rPr>
        <w:t xml:space="preserve"> </w:t>
      </w:r>
      <w:r>
        <w:rPr>
          <w:sz w:val="20"/>
        </w:rPr>
        <w:t>območij</w:t>
      </w:r>
      <w:r>
        <w:rPr>
          <w:spacing w:val="-7"/>
          <w:sz w:val="20"/>
        </w:rPr>
        <w:t xml:space="preserve"> </w:t>
      </w:r>
      <w:r>
        <w:rPr>
          <w:sz w:val="20"/>
        </w:rPr>
        <w:t>enot</w:t>
      </w:r>
      <w:r>
        <w:rPr>
          <w:spacing w:val="-5"/>
          <w:sz w:val="20"/>
        </w:rPr>
        <w:t xml:space="preserve"> </w:t>
      </w:r>
      <w:r>
        <w:rPr>
          <w:sz w:val="20"/>
        </w:rPr>
        <w:t>urejanja</w:t>
      </w:r>
      <w:r>
        <w:rPr>
          <w:spacing w:val="-4"/>
          <w:sz w:val="20"/>
        </w:rPr>
        <w:t xml:space="preserve"> </w:t>
      </w:r>
      <w:r>
        <w:rPr>
          <w:sz w:val="20"/>
        </w:rPr>
        <w:t>prostora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prikaz</w:t>
      </w:r>
      <w:r>
        <w:rPr>
          <w:spacing w:val="-4"/>
          <w:sz w:val="20"/>
        </w:rPr>
        <w:t xml:space="preserve"> </w:t>
      </w:r>
      <w:r>
        <w:rPr>
          <w:sz w:val="20"/>
        </w:rPr>
        <w:t>javne</w:t>
      </w:r>
      <w:r>
        <w:rPr>
          <w:spacing w:val="-4"/>
          <w:sz w:val="20"/>
        </w:rPr>
        <w:t xml:space="preserve"> </w:t>
      </w:r>
      <w:r>
        <w:rPr>
          <w:sz w:val="20"/>
        </w:rPr>
        <w:t>gospodarske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infrastrukture.</w:t>
      </w:r>
    </w:p>
    <w:p w:rsidR="007A2982" w:rsidRDefault="007A2982">
      <w:pPr>
        <w:pStyle w:val="Odstavekseznama"/>
        <w:rPr>
          <w:sz w:val="20"/>
        </w:rPr>
        <w:sectPr w:rsidR="007A2982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p w:rsidR="007A2982" w:rsidRDefault="008653C9">
      <w:pPr>
        <w:pStyle w:val="Odstavekseznama"/>
        <w:numPr>
          <w:ilvl w:val="0"/>
          <w:numId w:val="2"/>
        </w:numPr>
        <w:tabs>
          <w:tab w:val="left" w:pos="4850"/>
        </w:tabs>
        <w:spacing w:before="68"/>
        <w:ind w:left="4850" w:hanging="358"/>
        <w:rPr>
          <w:sz w:val="20"/>
        </w:rPr>
      </w:pPr>
      <w:r>
        <w:rPr>
          <w:spacing w:val="-4"/>
          <w:sz w:val="20"/>
        </w:rPr>
        <w:lastRenderedPageBreak/>
        <w:t>člen</w:t>
      </w:r>
    </w:p>
    <w:p w:rsidR="007A2982" w:rsidRDefault="008653C9">
      <w:pPr>
        <w:pStyle w:val="Telobesedila"/>
        <w:spacing w:before="184"/>
        <w:ind w:left="141"/>
      </w:pPr>
      <w:r>
        <w:t>Ta</w:t>
      </w:r>
      <w:r>
        <w:rPr>
          <w:spacing w:val="-5"/>
        </w:rPr>
        <w:t xml:space="preserve"> </w:t>
      </w:r>
      <w:r>
        <w:t>sklep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objavi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Uradnem</w:t>
      </w:r>
      <w:r>
        <w:rPr>
          <w:spacing w:val="-5"/>
        </w:rPr>
        <w:t xml:space="preserve"> </w:t>
      </w:r>
      <w:r>
        <w:t>glasilu</w:t>
      </w:r>
      <w:r>
        <w:rPr>
          <w:spacing w:val="-5"/>
        </w:rPr>
        <w:t xml:space="preserve"> </w:t>
      </w:r>
      <w:r>
        <w:t>slovenskih</w:t>
      </w:r>
      <w:r>
        <w:rPr>
          <w:spacing w:val="-3"/>
        </w:rPr>
        <w:t xml:space="preserve"> </w:t>
      </w:r>
      <w:r>
        <w:t>občin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začne</w:t>
      </w:r>
      <w:r>
        <w:rPr>
          <w:spacing w:val="-4"/>
        </w:rPr>
        <w:t xml:space="preserve"> </w:t>
      </w:r>
      <w:r>
        <w:t>veljati</w:t>
      </w:r>
      <w:r>
        <w:rPr>
          <w:spacing w:val="-3"/>
        </w:rPr>
        <w:t xml:space="preserve"> </w:t>
      </w:r>
      <w:r>
        <w:t>petnajsti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rPr>
          <w:spacing w:val="-2"/>
        </w:rPr>
        <w:t>objavi.</w:t>
      </w:r>
    </w:p>
    <w:p w:rsidR="007A2982" w:rsidRDefault="007A2982">
      <w:pPr>
        <w:pStyle w:val="Telobesedila"/>
      </w:pPr>
    </w:p>
    <w:p w:rsidR="007A2982" w:rsidRDefault="007A2982">
      <w:pPr>
        <w:pStyle w:val="Telobesedila"/>
      </w:pPr>
    </w:p>
    <w:p w:rsidR="007A2982" w:rsidRDefault="007A2982">
      <w:pPr>
        <w:pStyle w:val="Telobesedila"/>
        <w:spacing w:before="223"/>
      </w:pPr>
    </w:p>
    <w:p w:rsidR="007A2982" w:rsidRDefault="007A2982">
      <w:pPr>
        <w:pStyle w:val="Telobesedila"/>
        <w:sectPr w:rsidR="007A2982">
          <w:pgSz w:w="11910" w:h="16840"/>
          <w:pgMar w:top="1740" w:right="1275" w:bottom="280" w:left="1275" w:header="720" w:footer="720" w:gutter="0"/>
          <w:cols w:space="720"/>
        </w:sectPr>
      </w:pPr>
    </w:p>
    <w:p w:rsidR="007A2982" w:rsidRDefault="008653C9">
      <w:pPr>
        <w:pStyle w:val="Telobesedila"/>
        <w:tabs>
          <w:tab w:val="left" w:pos="2219"/>
        </w:tabs>
        <w:spacing w:before="96" w:line="432" w:lineRule="auto"/>
        <w:ind w:left="141" w:right="38"/>
        <w:rPr>
          <w:rFonts w:ascii="Times New Roman" w:hAnsi="Times New Roman"/>
        </w:rPr>
      </w:pPr>
      <w:r>
        <w:t>Številka:</w:t>
      </w:r>
      <w:r>
        <w:rPr>
          <w:spacing w:val="-14"/>
        </w:rPr>
        <w:t xml:space="preserve"> </w:t>
      </w:r>
      <w:r>
        <w:t xml:space="preserve">3500-2/2024-6 </w:t>
      </w:r>
      <w:r w:rsidRPr="008653C9">
        <w:rPr>
          <w:highlight w:val="yellow"/>
        </w:rPr>
        <w:t>Datum:</w:t>
      </w:r>
      <w:r>
        <w:t xml:space="preserve"> </w:t>
      </w:r>
      <w:r>
        <w:rPr>
          <w:rFonts w:ascii="Times New Roman" w:hAnsi="Times New Roman"/>
          <w:u w:val="single"/>
        </w:rPr>
        <w:tab/>
      </w:r>
    </w:p>
    <w:p w:rsidR="007A2982" w:rsidRDefault="008653C9">
      <w:pPr>
        <w:spacing w:before="188" w:line="259" w:lineRule="auto"/>
        <w:ind w:left="141" w:right="1212" w:firstLine="477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2"/>
        </w:rPr>
        <w:t xml:space="preserve">Župan </w:t>
      </w:r>
      <w:r>
        <w:rPr>
          <w:rFonts w:ascii="Calibri" w:hAnsi="Calibri"/>
        </w:rPr>
        <w:t>Občine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Gorišnica</w:t>
      </w:r>
    </w:p>
    <w:p w:rsidR="007A2982" w:rsidRDefault="007A2982">
      <w:pPr>
        <w:pStyle w:val="Telobesedila"/>
        <w:spacing w:before="23"/>
        <w:rPr>
          <w:rFonts w:ascii="Calibri"/>
          <w:sz w:val="22"/>
        </w:rPr>
      </w:pPr>
    </w:p>
    <w:p w:rsidR="007A2982" w:rsidRDefault="008653C9">
      <w:pPr>
        <w:ind w:left="390"/>
        <w:rPr>
          <w:rFonts w:ascii="Calibri"/>
        </w:rPr>
      </w:pPr>
      <w:r>
        <w:rPr>
          <w:rFonts w:ascii="Calibri"/>
        </w:rPr>
        <w:t>Borut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Kolar</w:t>
      </w:r>
    </w:p>
    <w:sectPr w:rsidR="007A2982">
      <w:type w:val="continuous"/>
      <w:pgSz w:w="11910" w:h="16840"/>
      <w:pgMar w:top="1320" w:right="1275" w:bottom="280" w:left="1275" w:header="720" w:footer="720" w:gutter="0"/>
      <w:cols w:num="2" w:space="720" w:equalWidth="0">
        <w:col w:w="2291" w:space="4196"/>
        <w:col w:w="28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1B6F"/>
    <w:multiLevelType w:val="hybridMultilevel"/>
    <w:tmpl w:val="35E4C00A"/>
    <w:lvl w:ilvl="0" w:tplc="F9E8BE4A">
      <w:numFmt w:val="bullet"/>
      <w:lvlText w:val="–"/>
      <w:lvlJc w:val="left"/>
      <w:pPr>
        <w:ind w:left="8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0"/>
        <w:szCs w:val="20"/>
        <w:lang w:val="sl-SI" w:eastAsia="en-US" w:bidi="ar-SA"/>
      </w:rPr>
    </w:lvl>
    <w:lvl w:ilvl="1" w:tplc="9BC8F484">
      <w:numFmt w:val="bullet"/>
      <w:lvlText w:val="•"/>
      <w:lvlJc w:val="left"/>
      <w:pPr>
        <w:ind w:left="1709" w:hanging="360"/>
      </w:pPr>
      <w:rPr>
        <w:rFonts w:hint="default"/>
        <w:lang w:val="sl-SI" w:eastAsia="en-US" w:bidi="ar-SA"/>
      </w:rPr>
    </w:lvl>
    <w:lvl w:ilvl="2" w:tplc="F7BC8D10">
      <w:numFmt w:val="bullet"/>
      <w:lvlText w:val="•"/>
      <w:lvlJc w:val="left"/>
      <w:pPr>
        <w:ind w:left="2559" w:hanging="360"/>
      </w:pPr>
      <w:rPr>
        <w:rFonts w:hint="default"/>
        <w:lang w:val="sl-SI" w:eastAsia="en-US" w:bidi="ar-SA"/>
      </w:rPr>
    </w:lvl>
    <w:lvl w:ilvl="3" w:tplc="16EE1656">
      <w:numFmt w:val="bullet"/>
      <w:lvlText w:val="•"/>
      <w:lvlJc w:val="left"/>
      <w:pPr>
        <w:ind w:left="3408" w:hanging="360"/>
      </w:pPr>
      <w:rPr>
        <w:rFonts w:hint="default"/>
        <w:lang w:val="sl-SI" w:eastAsia="en-US" w:bidi="ar-SA"/>
      </w:rPr>
    </w:lvl>
    <w:lvl w:ilvl="4" w:tplc="39B2B16C">
      <w:numFmt w:val="bullet"/>
      <w:lvlText w:val="•"/>
      <w:lvlJc w:val="left"/>
      <w:pPr>
        <w:ind w:left="4258" w:hanging="360"/>
      </w:pPr>
      <w:rPr>
        <w:rFonts w:hint="default"/>
        <w:lang w:val="sl-SI" w:eastAsia="en-US" w:bidi="ar-SA"/>
      </w:rPr>
    </w:lvl>
    <w:lvl w:ilvl="5" w:tplc="18B2AF36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4D0E9E2E">
      <w:numFmt w:val="bullet"/>
      <w:lvlText w:val="•"/>
      <w:lvlJc w:val="left"/>
      <w:pPr>
        <w:ind w:left="5957" w:hanging="360"/>
      </w:pPr>
      <w:rPr>
        <w:rFonts w:hint="default"/>
        <w:lang w:val="sl-SI" w:eastAsia="en-US" w:bidi="ar-SA"/>
      </w:rPr>
    </w:lvl>
    <w:lvl w:ilvl="7" w:tplc="E4A4E774">
      <w:numFmt w:val="bullet"/>
      <w:lvlText w:val="•"/>
      <w:lvlJc w:val="left"/>
      <w:pPr>
        <w:ind w:left="6807" w:hanging="360"/>
      </w:pPr>
      <w:rPr>
        <w:rFonts w:hint="default"/>
        <w:lang w:val="sl-SI" w:eastAsia="en-US" w:bidi="ar-SA"/>
      </w:rPr>
    </w:lvl>
    <w:lvl w:ilvl="8" w:tplc="CAFA4C52">
      <w:numFmt w:val="bullet"/>
      <w:lvlText w:val="•"/>
      <w:lvlJc w:val="left"/>
      <w:pPr>
        <w:ind w:left="7657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269B461D"/>
    <w:multiLevelType w:val="hybridMultilevel"/>
    <w:tmpl w:val="339E9C96"/>
    <w:lvl w:ilvl="0" w:tplc="D8245E2C">
      <w:start w:val="1"/>
      <w:numFmt w:val="decimal"/>
      <w:lvlText w:val="%1."/>
      <w:lvlJc w:val="left"/>
      <w:pPr>
        <w:ind w:left="4852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val="sl-SI" w:eastAsia="en-US" w:bidi="ar-SA"/>
      </w:rPr>
    </w:lvl>
    <w:lvl w:ilvl="1" w:tplc="4D24E340">
      <w:numFmt w:val="bullet"/>
      <w:lvlText w:val="•"/>
      <w:lvlJc w:val="left"/>
      <w:pPr>
        <w:ind w:left="5309" w:hanging="361"/>
      </w:pPr>
      <w:rPr>
        <w:rFonts w:hint="default"/>
        <w:lang w:val="sl-SI" w:eastAsia="en-US" w:bidi="ar-SA"/>
      </w:rPr>
    </w:lvl>
    <w:lvl w:ilvl="2" w:tplc="8E422532">
      <w:numFmt w:val="bullet"/>
      <w:lvlText w:val="•"/>
      <w:lvlJc w:val="left"/>
      <w:pPr>
        <w:ind w:left="5759" w:hanging="361"/>
      </w:pPr>
      <w:rPr>
        <w:rFonts w:hint="default"/>
        <w:lang w:val="sl-SI" w:eastAsia="en-US" w:bidi="ar-SA"/>
      </w:rPr>
    </w:lvl>
    <w:lvl w:ilvl="3" w:tplc="50706E5C">
      <w:numFmt w:val="bullet"/>
      <w:lvlText w:val="•"/>
      <w:lvlJc w:val="left"/>
      <w:pPr>
        <w:ind w:left="6208" w:hanging="361"/>
      </w:pPr>
      <w:rPr>
        <w:rFonts w:hint="default"/>
        <w:lang w:val="sl-SI" w:eastAsia="en-US" w:bidi="ar-SA"/>
      </w:rPr>
    </w:lvl>
    <w:lvl w:ilvl="4" w:tplc="547A58CE">
      <w:numFmt w:val="bullet"/>
      <w:lvlText w:val="•"/>
      <w:lvlJc w:val="left"/>
      <w:pPr>
        <w:ind w:left="6658" w:hanging="361"/>
      </w:pPr>
      <w:rPr>
        <w:rFonts w:hint="default"/>
        <w:lang w:val="sl-SI" w:eastAsia="en-US" w:bidi="ar-SA"/>
      </w:rPr>
    </w:lvl>
    <w:lvl w:ilvl="5" w:tplc="707A581C">
      <w:numFmt w:val="bullet"/>
      <w:lvlText w:val="•"/>
      <w:lvlJc w:val="left"/>
      <w:pPr>
        <w:ind w:left="7108" w:hanging="361"/>
      </w:pPr>
      <w:rPr>
        <w:rFonts w:hint="default"/>
        <w:lang w:val="sl-SI" w:eastAsia="en-US" w:bidi="ar-SA"/>
      </w:rPr>
    </w:lvl>
    <w:lvl w:ilvl="6" w:tplc="A4D4FB40">
      <w:numFmt w:val="bullet"/>
      <w:lvlText w:val="•"/>
      <w:lvlJc w:val="left"/>
      <w:pPr>
        <w:ind w:left="7557" w:hanging="361"/>
      </w:pPr>
      <w:rPr>
        <w:rFonts w:hint="default"/>
        <w:lang w:val="sl-SI" w:eastAsia="en-US" w:bidi="ar-SA"/>
      </w:rPr>
    </w:lvl>
    <w:lvl w:ilvl="7" w:tplc="6B504162">
      <w:numFmt w:val="bullet"/>
      <w:lvlText w:val="•"/>
      <w:lvlJc w:val="left"/>
      <w:pPr>
        <w:ind w:left="8007" w:hanging="361"/>
      </w:pPr>
      <w:rPr>
        <w:rFonts w:hint="default"/>
        <w:lang w:val="sl-SI" w:eastAsia="en-US" w:bidi="ar-SA"/>
      </w:rPr>
    </w:lvl>
    <w:lvl w:ilvl="8" w:tplc="C5087CCE">
      <w:numFmt w:val="bullet"/>
      <w:lvlText w:val="•"/>
      <w:lvlJc w:val="left"/>
      <w:pPr>
        <w:ind w:left="8457" w:hanging="361"/>
      </w:pPr>
      <w:rPr>
        <w:rFonts w:hint="default"/>
        <w:lang w:val="sl-S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982"/>
    <w:rsid w:val="007A2982"/>
    <w:rsid w:val="0086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57B9"/>
  <w15:docId w15:val="{D39AE9C6-644E-4F04-8221-275861EC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Microsoft Sans Serif" w:eastAsia="Microsoft Sans Serif" w:hAnsi="Microsoft Sans Serif" w:cs="Microsoft Sans Serif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4850" w:hanging="358"/>
    </w:pPr>
  </w:style>
  <w:style w:type="paragraph" w:customStyle="1" w:styleId="TableParagraph">
    <w:name w:val="Table Paragraph"/>
    <w:basedOn w:val="Navaden"/>
    <w:uiPriority w:val="1"/>
    <w:qFormat/>
    <w:pPr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sklep_tp_OSNUTEK</dc:title>
  <dc:creator>Katja Banar</dc:creator>
  <cp:lastModifiedBy>Robert Simenko</cp:lastModifiedBy>
  <cp:revision>2</cp:revision>
  <dcterms:created xsi:type="dcterms:W3CDTF">2025-07-01T12:38:00Z</dcterms:created>
  <dcterms:modified xsi:type="dcterms:W3CDTF">2025-07-01T12:38:00Z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</Properties>
</file>