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5CAF" w:rsidRPr="00D35CAF" w14:paraId="68F91741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EED3" w14:textId="38BC9F0C" w:rsidR="009C143B" w:rsidRDefault="009C143B" w:rsidP="009C143B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 podlagi 5. člena </w:t>
            </w:r>
            <w:hyperlink r:id="rId4" w:history="1">
              <w:r w:rsidRPr="00D35CAF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Uredbe o metodologiji za oblikovanje cen storitev obveznih občinskih javnih služb varstva okolja</w:t>
              </w:r>
            </w:hyperlink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(v nadaljevanju: Uredba, </w:t>
            </w:r>
            <w:proofErr w:type="spellStart"/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Ur.l</w:t>
            </w:r>
            <w:proofErr w:type="spellEnd"/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 RS št. 87/12 in 109/12) in 1</w:t>
            </w:r>
            <w:r w:rsidR="0020189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5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 člena Statuta Občine Gorišnica (Uradn</w:t>
            </w:r>
            <w:r w:rsidR="0020189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 glasilo slovenskih občin št. 57/2017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) je Občinski sv</w:t>
            </w:r>
            <w:r w:rsidR="0096469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et Občine Gorišnica na svoji </w:t>
            </w:r>
            <w:r w:rsidR="00D915F7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_</w:t>
            </w:r>
            <w:r w:rsidR="0096469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. redni seji, dne </w:t>
            </w:r>
            <w:r w:rsidR="00D915F7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_____________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sprejel naslednji</w:t>
            </w:r>
          </w:p>
          <w:p w14:paraId="7ABABD32" w14:textId="1018FE50" w:rsidR="0069488D" w:rsidRPr="00D35CAF" w:rsidRDefault="0069488D" w:rsidP="009C14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4B83ED30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EA0" w14:textId="77777777" w:rsidR="009C143B" w:rsidRPr="00D35CAF" w:rsidRDefault="009C143B" w:rsidP="009C14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SKLEP</w:t>
            </w:r>
          </w:p>
        </w:tc>
      </w:tr>
      <w:tr w:rsidR="00D35CAF" w:rsidRPr="00D35CAF" w14:paraId="6C3F641B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523" w14:textId="370980DC" w:rsidR="009C143B" w:rsidRDefault="00B42C78" w:rsidP="009C143B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o </w:t>
            </w:r>
            <w:r w:rsidR="009C143B"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višini stroškov omrežnine izvajanja obvezne gospodarske javne službe odvajanja in čiščenja komunalnih in padavinskih</w:t>
            </w:r>
            <w:r w:rsidR="00C97999"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voda </w:t>
            </w:r>
            <w:r w:rsidR="00BC52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in oskrbe s pitno vodo </w:t>
            </w:r>
            <w:r w:rsidR="00C97999"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 območju občine Gorišnica</w:t>
            </w:r>
          </w:p>
          <w:p w14:paraId="02A15357" w14:textId="77777777" w:rsidR="00874C2A" w:rsidRDefault="00874C2A" w:rsidP="002655B2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F2F14D8" w14:textId="72994170" w:rsidR="00512ACA" w:rsidRPr="00D35CAF" w:rsidRDefault="00512ACA" w:rsidP="009C14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598CDF4A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3E24" w14:textId="77777777" w:rsidR="009C143B" w:rsidRPr="00D35CAF" w:rsidRDefault="009C143B" w:rsidP="009C14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1. člen</w:t>
            </w:r>
          </w:p>
        </w:tc>
      </w:tr>
      <w:tr w:rsidR="00D35CAF" w:rsidRPr="00D35CAF" w14:paraId="35E341E6" w14:textId="77777777" w:rsidTr="001614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0F86" w14:textId="77777777" w:rsidR="009C143B" w:rsidRPr="00D35CAF" w:rsidRDefault="009C143B" w:rsidP="004912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1783C171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03C0" w14:textId="331F8799" w:rsidR="000A30D6" w:rsidRDefault="009C143B" w:rsidP="000A30D6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Občinski svet Občine Gorišnica sprejme mesečne tarife za obračun omrežnine za uporabo javne infrastrukture, ki se uporablja za izvajanje obvezne gospodarske javne službe odvajanja in čiščenja komunalne in padavinske vode </w:t>
            </w:r>
            <w:r w:rsidR="00BC520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in oskrbe s pitno vodo, 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kot so navedene </w:t>
            </w:r>
            <w:r w:rsidR="000A30D6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tabel</w:t>
            </w:r>
            <w:r w:rsidR="00D63677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ah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v nadaljevanju in so bile določene skladno z Uredbo na podlagi vrednosti javne gospodarske infrastrukture v lasti občine Gorišnica ter subvencijo</w:t>
            </w:r>
            <w:r w:rsidR="0096469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za leto 20</w:t>
            </w:r>
            <w:r w:rsidR="00A055D7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</w:t>
            </w:r>
            <w:r w:rsidR="00D915F7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5</w:t>
            </w:r>
            <w:r w:rsidR="002D0ED9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na določene mesečne tarife</w:t>
            </w:r>
            <w:r w:rsidR="001B525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za obračun omrežnine v višini </w:t>
            </w:r>
            <w:r w:rsidR="00D915F7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__</w:t>
            </w:r>
            <w:r w:rsidRPr="00DE353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%</w:t>
            </w:r>
            <w:r w:rsidR="002D0ED9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49129C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za</w:t>
            </w:r>
            <w:r w:rsidR="000A30D6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E3524D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gospodinjstva</w:t>
            </w:r>
            <w:r w:rsidR="0049129C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in uporabnike iz nepridobitnih dejavnosti</w:t>
            </w:r>
            <w:r w:rsidR="000A30D6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tako</w:t>
            </w:r>
            <w:r w:rsidR="00222C83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da ob upoštevanju subvencije, 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zaračunane mesečne tarife za obračun omrežnine uporabnikom znašajo toliko kot </w:t>
            </w:r>
            <w:r w:rsidR="0049129C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je 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navedeno v zadnjem stolpcu tabel v nadaljevanju.</w:t>
            </w:r>
          </w:p>
          <w:p w14:paraId="5AFF604F" w14:textId="77777777" w:rsidR="00BC5202" w:rsidRDefault="00BC5202" w:rsidP="000A30D6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tbl>
            <w:tblPr>
              <w:tblW w:w="86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7"/>
              <w:gridCol w:w="1843"/>
              <w:gridCol w:w="1984"/>
              <w:gridCol w:w="1985"/>
            </w:tblGrid>
            <w:tr w:rsidR="00BC5202" w:rsidRPr="004F0D06" w14:paraId="70B12F58" w14:textId="77777777" w:rsidTr="00B80132">
              <w:trPr>
                <w:trHeight w:val="315"/>
              </w:trPr>
              <w:tc>
                <w:tcPr>
                  <w:tcW w:w="86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7F10B8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Omrežnina za oskrbo s pitno vodo</w:t>
                  </w:r>
                </w:p>
              </w:tc>
            </w:tr>
            <w:tr w:rsidR="00BC5202" w:rsidRPr="004F0D06" w14:paraId="30D921BF" w14:textId="77777777" w:rsidTr="00B80132">
              <w:trPr>
                <w:trHeight w:val="510"/>
              </w:trPr>
              <w:tc>
                <w:tcPr>
                  <w:tcW w:w="2867" w:type="dxa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722E44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 xml:space="preserve">Dimenzija vodomera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65C4BD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Faktor omrežnine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395EEC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Omrežnina €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FB82E4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Omrežnina s subvencijo</w:t>
                  </w:r>
                </w:p>
              </w:tc>
            </w:tr>
            <w:tr w:rsidR="00BC5202" w:rsidRPr="004F0D06" w14:paraId="7989AB6D" w14:textId="77777777" w:rsidTr="00B80132">
              <w:trPr>
                <w:trHeight w:val="315"/>
              </w:trPr>
              <w:tc>
                <w:tcPr>
                  <w:tcW w:w="2867" w:type="dxa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F069B7" w14:textId="77777777" w:rsidR="00BC5202" w:rsidRPr="004F0D06" w:rsidRDefault="00BC5202" w:rsidP="00BC520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145656" w14:textId="77777777" w:rsidR="00BC5202" w:rsidRPr="004F0D06" w:rsidRDefault="00BC5202" w:rsidP="00BC520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411EAC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(brez DDV)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4288E0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v € (brez DDV)</w:t>
                  </w:r>
                </w:p>
              </w:tc>
            </w:tr>
            <w:tr w:rsidR="00BC5202" w:rsidRPr="004F0D06" w14:paraId="76A82B8B" w14:textId="77777777" w:rsidTr="00D915F7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25B53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65A30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EED7E1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5,2228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DC90B5" w14:textId="7B6A9EF7" w:rsidR="00BC5202" w:rsidRPr="004F0D06" w:rsidRDefault="00BC5202" w:rsidP="00BC52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C5202" w:rsidRPr="004F0D06" w14:paraId="05A13973" w14:textId="77777777" w:rsidTr="00D915F7">
              <w:trPr>
                <w:trHeight w:val="525"/>
              </w:trPr>
              <w:tc>
                <w:tcPr>
                  <w:tcW w:w="2867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9B71C0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 &lt; DN &lt; 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67AF23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B6AA21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15,6684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A99AB8" w14:textId="44615BB3" w:rsidR="00BC5202" w:rsidRPr="004F0D06" w:rsidRDefault="00BC5202" w:rsidP="00BC52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C5202" w:rsidRPr="004F0D06" w14:paraId="29A5AD37" w14:textId="77777777" w:rsidTr="00D915F7">
              <w:trPr>
                <w:trHeight w:val="525"/>
              </w:trPr>
              <w:tc>
                <w:tcPr>
                  <w:tcW w:w="2867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259186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40 ≤ DN &lt; 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4C8F1D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1B2667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52,2280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9D2BC9" w14:textId="6607ABAE" w:rsidR="00BC5202" w:rsidRPr="004F0D06" w:rsidRDefault="00BC5202" w:rsidP="00BC52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C5202" w:rsidRPr="004F0D06" w14:paraId="348F9803" w14:textId="77777777" w:rsidTr="00D915F7">
              <w:trPr>
                <w:trHeight w:val="525"/>
              </w:trPr>
              <w:tc>
                <w:tcPr>
                  <w:tcW w:w="2867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F2DFBC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 ≤ DN &lt; 65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7E1773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565CB0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78,3420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2E9179" w14:textId="4F522141" w:rsidR="00BC5202" w:rsidRPr="004F0D06" w:rsidRDefault="00BC5202" w:rsidP="00BC52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C5202" w:rsidRPr="004F0D06" w14:paraId="337E7ED3" w14:textId="77777777" w:rsidTr="00D915F7">
              <w:trPr>
                <w:trHeight w:val="525"/>
              </w:trPr>
              <w:tc>
                <w:tcPr>
                  <w:tcW w:w="2867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C788C1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65 ≤ DN &lt; 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D6098A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38BA2A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156,6840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4ABE97" w14:textId="1CD29BCC" w:rsidR="00BC5202" w:rsidRPr="004F0D06" w:rsidRDefault="00BC5202" w:rsidP="00BC52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C5202" w:rsidRPr="004F0D06" w14:paraId="08FB4923" w14:textId="77777777" w:rsidTr="00D915F7">
              <w:trPr>
                <w:trHeight w:val="525"/>
              </w:trPr>
              <w:tc>
                <w:tcPr>
                  <w:tcW w:w="2867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D42192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80 ≤ DN &lt; 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18AB5D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72FA02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261,1400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EDF5CC" w14:textId="56AFAB23" w:rsidR="00BC5202" w:rsidRPr="004F0D06" w:rsidRDefault="00BC5202" w:rsidP="00BC52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C5202" w:rsidRPr="004F0D06" w14:paraId="635B58C4" w14:textId="77777777" w:rsidTr="00D915F7">
              <w:trPr>
                <w:trHeight w:val="525"/>
              </w:trPr>
              <w:tc>
                <w:tcPr>
                  <w:tcW w:w="2867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3175C5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 ≤ DN &lt; 150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7FC6EF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FF736C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522,2800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FBE3B5" w14:textId="2C45493D" w:rsidR="00BC5202" w:rsidRPr="004F0D06" w:rsidRDefault="00BC5202" w:rsidP="00BC52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C5202" w:rsidRPr="004F0D06" w14:paraId="2FFBB57A" w14:textId="77777777" w:rsidTr="00D915F7">
              <w:trPr>
                <w:trHeight w:val="315"/>
              </w:trPr>
              <w:tc>
                <w:tcPr>
                  <w:tcW w:w="28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693204" w14:textId="77777777" w:rsidR="00BC5202" w:rsidRPr="004F0D06" w:rsidRDefault="00BC5202" w:rsidP="00BC5202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150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B0A2FC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698E18" w14:textId="77777777" w:rsidR="00BC5202" w:rsidRPr="004F0D06" w:rsidRDefault="00BC5202" w:rsidP="00BC520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F0D0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1.044,5600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7CDB73" w14:textId="791775BC" w:rsidR="00BC5202" w:rsidRPr="004F0D06" w:rsidRDefault="00BC5202" w:rsidP="00BC52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</w:tbl>
          <w:p w14:paraId="359DE9DE" w14:textId="1696340D" w:rsidR="00BC5202" w:rsidRDefault="00BC5202" w:rsidP="000A30D6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64CC5312" w14:textId="0D9BB3AE" w:rsidR="00B91296" w:rsidRDefault="00B91296" w:rsidP="000A30D6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tbl>
            <w:tblPr>
              <w:tblW w:w="83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0"/>
              <w:gridCol w:w="2126"/>
              <w:gridCol w:w="2410"/>
              <w:gridCol w:w="1559"/>
            </w:tblGrid>
            <w:tr w:rsidR="00422171" w:rsidRPr="00422171" w14:paraId="11E357B9" w14:textId="77777777" w:rsidTr="00422171">
              <w:trPr>
                <w:trHeight w:val="315"/>
              </w:trPr>
              <w:tc>
                <w:tcPr>
                  <w:tcW w:w="839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11A491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Omrežnina za odvajanje odplak</w:t>
                  </w:r>
                </w:p>
              </w:tc>
            </w:tr>
            <w:tr w:rsidR="00B91296" w:rsidRPr="00422171" w14:paraId="7E6AE5A2" w14:textId="77777777" w:rsidTr="00422171">
              <w:trPr>
                <w:trHeight w:val="510"/>
              </w:trPr>
              <w:tc>
                <w:tcPr>
                  <w:tcW w:w="2300" w:type="dxa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A91039" w14:textId="01B36E53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Dimenzija vodomera 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E04781" w14:textId="10397407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Faktor omrežnine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23EFD0" w14:textId="2B835A0D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Omrežnina €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B3D123" w14:textId="6BC2C775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Omrežnina s subvencijo</w:t>
                  </w:r>
                </w:p>
              </w:tc>
            </w:tr>
            <w:tr w:rsidR="00B91296" w:rsidRPr="00422171" w14:paraId="58DD0B52" w14:textId="77777777" w:rsidTr="00422171">
              <w:trPr>
                <w:trHeight w:val="315"/>
              </w:trPr>
              <w:tc>
                <w:tcPr>
                  <w:tcW w:w="2300" w:type="dxa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F86159" w14:textId="77777777" w:rsidR="00B91296" w:rsidRPr="00422171" w:rsidRDefault="00B91296" w:rsidP="00B9129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BB89F3" w14:textId="77777777" w:rsidR="00B91296" w:rsidRPr="00422171" w:rsidRDefault="00B91296" w:rsidP="00B9129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A7D0FF" w14:textId="5AD92B82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(brez DDV)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099670" w14:textId="0318060C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v € (brez DDV)</w:t>
                  </w:r>
                </w:p>
              </w:tc>
            </w:tr>
            <w:tr w:rsidR="00B91296" w:rsidRPr="00422171" w14:paraId="5FAC3F76" w14:textId="77777777" w:rsidTr="00D915F7">
              <w:trPr>
                <w:trHeight w:val="31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083151" w14:textId="39F7A388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DN ≤ 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58B2D0" w14:textId="55CB0DEC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1D0ACDA" w14:textId="1FE1DA85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11,3106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84187D" w14:textId="140C9F91" w:rsidR="00B91296" w:rsidRPr="00422171" w:rsidRDefault="00B91296" w:rsidP="00B912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91296" w:rsidRPr="00422171" w14:paraId="1EE0CC5D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0B79B7" w14:textId="76EBB769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20 &lt; DN &lt; 40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9583E" w14:textId="2547329A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DCB189E" w14:textId="69CFA9E5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33,9318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7C33ED" w14:textId="4352314D" w:rsidR="00B91296" w:rsidRPr="00422171" w:rsidRDefault="00B91296" w:rsidP="00B912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91296" w:rsidRPr="00422171" w14:paraId="63CA6DE1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0CC748" w14:textId="764CE03C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lastRenderedPageBreak/>
                    <w:t>40 ≤ DN &lt; 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45D12C" w14:textId="79D313CF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B7671C7" w14:textId="2BBB7B9D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113,1060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F7D59A" w14:textId="433A3695" w:rsidR="00B91296" w:rsidRPr="00422171" w:rsidRDefault="00B91296" w:rsidP="00B912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91296" w:rsidRPr="00422171" w14:paraId="44E6F742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E63105" w14:textId="5B8F6E9B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50 ≤ DN &lt; 65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F37652" w14:textId="2D4F3617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B0ED1AD" w14:textId="2EC56679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169,6590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8EA1EE" w14:textId="2B4CC347" w:rsidR="00B91296" w:rsidRPr="00422171" w:rsidRDefault="00B91296" w:rsidP="00B912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91296" w:rsidRPr="00422171" w14:paraId="444219B8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889F9" w14:textId="1B6B1E60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65 ≤ DN &lt; 80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C1FDFC" w14:textId="793EE5CD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C396F03" w14:textId="7347298A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339,3180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647DFC" w14:textId="3AEC49C5" w:rsidR="00B91296" w:rsidRPr="00422171" w:rsidRDefault="00B91296" w:rsidP="00B912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91296" w:rsidRPr="00422171" w14:paraId="7C861785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E17446" w14:textId="7312E1EE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80 ≤ DN &lt; 100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365F66" w14:textId="5A1483B7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AF687D8" w14:textId="0E078EF1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565,5300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C667B9" w14:textId="15D6CF47" w:rsidR="00B91296" w:rsidRPr="00422171" w:rsidRDefault="00B91296" w:rsidP="00B912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91296" w:rsidRPr="00422171" w14:paraId="728A72B5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413810" w14:textId="501AE67F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100 ≤ DN &lt; 150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108345" w14:textId="0D69EC5D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888D684" w14:textId="39C66335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1.131,0600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9A67BC" w14:textId="6CDA9FEC" w:rsidR="00B91296" w:rsidRPr="00422171" w:rsidRDefault="00B91296" w:rsidP="00B912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B91296" w:rsidRPr="00422171" w14:paraId="4F1633A5" w14:textId="77777777" w:rsidTr="00D915F7">
              <w:trPr>
                <w:trHeight w:val="31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5F7AAC" w14:textId="486E8AEB" w:rsidR="00B91296" w:rsidRPr="00422171" w:rsidRDefault="00B91296" w:rsidP="00B912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DN ≤ 150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F1E823" w14:textId="0CEBC53E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4633D69" w14:textId="688BAACE" w:rsidR="00B91296" w:rsidRPr="00422171" w:rsidRDefault="00B91296" w:rsidP="00B912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2.262,1200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37D5E9" w14:textId="1A36055E" w:rsidR="00B91296" w:rsidRPr="00422171" w:rsidRDefault="00B91296" w:rsidP="00B9129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</w:tbl>
          <w:p w14:paraId="5EB3B9F2" w14:textId="2FF17479" w:rsidR="00422171" w:rsidRDefault="00422171" w:rsidP="000A30D6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tbl>
            <w:tblPr>
              <w:tblW w:w="83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0"/>
              <w:gridCol w:w="2126"/>
              <w:gridCol w:w="2410"/>
              <w:gridCol w:w="1559"/>
            </w:tblGrid>
            <w:tr w:rsidR="00422171" w:rsidRPr="00422171" w14:paraId="3A835D39" w14:textId="77777777" w:rsidTr="00512ACA">
              <w:trPr>
                <w:trHeight w:val="315"/>
              </w:trPr>
              <w:tc>
                <w:tcPr>
                  <w:tcW w:w="839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ECB25C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Omrežnina za čiščenje odplak</w:t>
                  </w:r>
                </w:p>
              </w:tc>
            </w:tr>
            <w:tr w:rsidR="00422171" w:rsidRPr="00422171" w14:paraId="394A3AFA" w14:textId="77777777" w:rsidTr="00512ACA">
              <w:trPr>
                <w:trHeight w:val="510"/>
              </w:trPr>
              <w:tc>
                <w:tcPr>
                  <w:tcW w:w="2300" w:type="dxa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9C1977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 xml:space="preserve">Dimenzija vodomera 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89C830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Faktor omrežnine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D1D11A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Omrežnina €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4F8911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Omrežnina s subvencijo</w:t>
                  </w:r>
                </w:p>
              </w:tc>
            </w:tr>
            <w:tr w:rsidR="00422171" w:rsidRPr="00422171" w14:paraId="38FA166F" w14:textId="77777777" w:rsidTr="00512ACA">
              <w:trPr>
                <w:trHeight w:val="315"/>
              </w:trPr>
              <w:tc>
                <w:tcPr>
                  <w:tcW w:w="2300" w:type="dxa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C54E93" w14:textId="77777777" w:rsidR="00422171" w:rsidRPr="00422171" w:rsidRDefault="00422171" w:rsidP="004221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F6461B9" w14:textId="77777777" w:rsidR="00422171" w:rsidRPr="00422171" w:rsidRDefault="00422171" w:rsidP="004221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05EE04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(brez DDV)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88FA61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v € (brez DDV)</w:t>
                  </w:r>
                </w:p>
              </w:tc>
            </w:tr>
            <w:tr w:rsidR="00422171" w:rsidRPr="00422171" w14:paraId="5830E3C9" w14:textId="77777777" w:rsidTr="00D915F7">
              <w:trPr>
                <w:trHeight w:val="31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3B66D4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E4D04C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17C20F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3,2307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7C9A1B" w14:textId="25789887" w:rsidR="00422171" w:rsidRPr="00422171" w:rsidRDefault="00422171" w:rsidP="0042217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422171" w:rsidRPr="00422171" w14:paraId="6A7BD887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9F7806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 &lt; DN &lt; 40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CC6E80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B7E2B1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9,6921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8070FF" w14:textId="1E80416C" w:rsidR="00422171" w:rsidRPr="00422171" w:rsidRDefault="00422171" w:rsidP="0042217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422171" w:rsidRPr="00422171" w14:paraId="686CA2EA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2E907B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40 ≤ DN &lt; 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698592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35DF13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32,3070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BB95BF" w14:textId="395A7F90" w:rsidR="00422171" w:rsidRPr="00422171" w:rsidRDefault="00422171" w:rsidP="0042217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422171" w:rsidRPr="00422171" w14:paraId="26EBA5D9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B2E5BE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 ≤ DN &lt; 65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2471BB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2BE642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48,4605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2D24DA" w14:textId="5FDC7B0C" w:rsidR="00422171" w:rsidRPr="00422171" w:rsidRDefault="00422171" w:rsidP="0042217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422171" w:rsidRPr="00422171" w14:paraId="1347EF57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4649D4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65 ≤ DN &lt; 80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8B153E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BAD372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96,9210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4EBA25" w14:textId="28695CFE" w:rsidR="00422171" w:rsidRPr="00422171" w:rsidRDefault="00422171" w:rsidP="0042217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422171" w:rsidRPr="00422171" w14:paraId="712D0E93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B5A489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80 ≤ DN &lt; 100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7603FE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841A83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161,5350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F9FB5D" w14:textId="6D2149BF" w:rsidR="00422171" w:rsidRPr="00422171" w:rsidRDefault="00422171" w:rsidP="0042217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422171" w:rsidRPr="00422171" w14:paraId="27AA84EC" w14:textId="77777777" w:rsidTr="00D915F7">
              <w:trPr>
                <w:trHeight w:val="52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951DE7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 ≤ DN &lt; 150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A9148A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85C201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323,0700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709255" w14:textId="31171D8C" w:rsidR="00422171" w:rsidRPr="00422171" w:rsidRDefault="00422171" w:rsidP="0042217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  <w:tr w:rsidR="00422171" w:rsidRPr="00422171" w14:paraId="6D36E90E" w14:textId="77777777" w:rsidTr="00D915F7">
              <w:trPr>
                <w:trHeight w:val="315"/>
              </w:trPr>
              <w:tc>
                <w:tcPr>
                  <w:tcW w:w="2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BA147F" w14:textId="77777777" w:rsidR="00422171" w:rsidRPr="00422171" w:rsidRDefault="00422171" w:rsidP="00422171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150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11FE9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21E3F8" w14:textId="77777777" w:rsidR="00422171" w:rsidRPr="00422171" w:rsidRDefault="00422171" w:rsidP="004221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2217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646,1400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336F05" w14:textId="5ED552C2" w:rsidR="00422171" w:rsidRPr="00422171" w:rsidRDefault="00422171" w:rsidP="0042217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</w:tbl>
          <w:p w14:paraId="6A63F390" w14:textId="72C09ABC" w:rsidR="00A055D7" w:rsidRPr="00D35CAF" w:rsidRDefault="00A055D7" w:rsidP="000A30D6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D35CAF" w:rsidRPr="00D35CAF" w14:paraId="0DAD8F25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BEFE" w14:textId="77777777" w:rsidR="00E3524D" w:rsidRPr="00D35CAF" w:rsidRDefault="00E3524D" w:rsidP="00D832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35CAF">
              <w:rPr>
                <w:rFonts w:ascii="Tahoma" w:hAnsi="Tahoma" w:cs="Tahoma"/>
                <w:sz w:val="20"/>
                <w:szCs w:val="20"/>
              </w:rPr>
              <w:lastRenderedPageBreak/>
              <w:t>Sredstva za subvencijo se zagotovijo v proračunu Občine Gorišnica</w:t>
            </w:r>
          </w:p>
          <w:p w14:paraId="713753DD" w14:textId="2FAC9DEE" w:rsidR="009C143B" w:rsidRDefault="00512ACA" w:rsidP="009C143B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9C143B"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. člen</w:t>
            </w:r>
          </w:p>
          <w:p w14:paraId="7809090F" w14:textId="3528970B" w:rsidR="00512ACA" w:rsidRPr="00D35CAF" w:rsidRDefault="00512ACA" w:rsidP="009C14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0FDA9125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3A4F" w14:textId="77777777" w:rsidR="00161495" w:rsidRDefault="009C143B" w:rsidP="009C143B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Ta sklep začne veljati naslednji dan po objavi v Uradnem</w:t>
            </w:r>
            <w:r w:rsidR="00C97999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glasilu slovenskih občin</w:t>
            </w:r>
            <w:r w:rsidR="0016149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  <w:p w14:paraId="381EC78F" w14:textId="77777777" w:rsidR="009C143B" w:rsidRPr="00D35CAF" w:rsidRDefault="009C143B" w:rsidP="0016149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2379D5E2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E3E6" w14:textId="77777777" w:rsidR="009C143B" w:rsidRPr="00D35CAF" w:rsidRDefault="009C143B" w:rsidP="009C14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</w:tr>
      <w:tr w:rsidR="00D35CAF" w:rsidRPr="00D35CAF" w14:paraId="1F42E97F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0516" w14:textId="3B967895" w:rsidR="009C143B" w:rsidRPr="00D35CAF" w:rsidRDefault="009C143B" w:rsidP="00C979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Številka: </w:t>
            </w:r>
            <w:r w:rsidR="00F30C2B">
              <w:t xml:space="preserve"> </w:t>
            </w:r>
            <w:r w:rsidR="00C53841">
              <w:t xml:space="preserve">                          </w:t>
            </w:r>
            <w:r w:rsidR="00F30C2B">
              <w:t xml:space="preserve">   </w:t>
            </w:r>
            <w:r w:rsidR="006571D1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    </w:t>
            </w:r>
            <w:r w:rsidR="002107E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</w:t>
            </w:r>
            <w:r w:rsidR="00D915F7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</w:t>
            </w:r>
            <w:r w:rsidR="00CB21E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</w:t>
            </w:r>
            <w:r w:rsidR="00CA7F59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6571D1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župan</w:t>
            </w:r>
          </w:p>
        </w:tc>
      </w:tr>
      <w:tr w:rsidR="00D35CAF" w:rsidRPr="00D35CAF" w14:paraId="7698FA92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7212" w14:textId="015B4518" w:rsidR="009C143B" w:rsidRPr="00D35CAF" w:rsidRDefault="00161495" w:rsidP="00C979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</w:t>
            </w:r>
            <w:r w:rsidR="0096469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 Gorišnica,</w:t>
            </w:r>
            <w:r w:rsidR="006A3A5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C5384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</w:t>
            </w:r>
            <w:r w:rsidR="006571D1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</w:t>
            </w:r>
            <w:r w:rsidR="002107E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</w:t>
            </w:r>
            <w:r w:rsidR="006571D1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6A3A5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</w:t>
            </w:r>
            <w:r w:rsidR="00874C2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</w:t>
            </w:r>
            <w:r w:rsidR="00695A2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874C2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6A3A5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</w:t>
            </w:r>
            <w:r w:rsidR="00CA7F59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Borut Kolar</w:t>
            </w:r>
          </w:p>
        </w:tc>
      </w:tr>
      <w:tr w:rsidR="006571D1" w:rsidRPr="00D35CAF" w14:paraId="3899C610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B1AA" w14:textId="77777777" w:rsidR="006571D1" w:rsidRPr="00D35CAF" w:rsidRDefault="006571D1" w:rsidP="00C97999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7E501E96" w14:textId="77777777" w:rsidR="00C44D57" w:rsidRPr="00D35CAF" w:rsidRDefault="00C44D57"/>
    <w:sectPr w:rsidR="00C44D57" w:rsidRPr="00D3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3B"/>
    <w:rsid w:val="00092F87"/>
    <w:rsid w:val="000A30D6"/>
    <w:rsid w:val="00161495"/>
    <w:rsid w:val="00173185"/>
    <w:rsid w:val="001B5255"/>
    <w:rsid w:val="00201895"/>
    <w:rsid w:val="002107E6"/>
    <w:rsid w:val="00222C83"/>
    <w:rsid w:val="002655B2"/>
    <w:rsid w:val="002C774F"/>
    <w:rsid w:val="002D0ED9"/>
    <w:rsid w:val="00355C02"/>
    <w:rsid w:val="00422171"/>
    <w:rsid w:val="00426EE6"/>
    <w:rsid w:val="0049129C"/>
    <w:rsid w:val="004E1E01"/>
    <w:rsid w:val="00512ACA"/>
    <w:rsid w:val="005A1721"/>
    <w:rsid w:val="005D328E"/>
    <w:rsid w:val="005F1F34"/>
    <w:rsid w:val="00607503"/>
    <w:rsid w:val="00647F6D"/>
    <w:rsid w:val="006571D1"/>
    <w:rsid w:val="0069488D"/>
    <w:rsid w:val="00695A22"/>
    <w:rsid w:val="006A3A53"/>
    <w:rsid w:val="00705362"/>
    <w:rsid w:val="00737FAC"/>
    <w:rsid w:val="007710AE"/>
    <w:rsid w:val="007B0AF5"/>
    <w:rsid w:val="00874C2A"/>
    <w:rsid w:val="00883B51"/>
    <w:rsid w:val="00950006"/>
    <w:rsid w:val="0096469E"/>
    <w:rsid w:val="009C143B"/>
    <w:rsid w:val="00A055D7"/>
    <w:rsid w:val="00B42C78"/>
    <w:rsid w:val="00B91296"/>
    <w:rsid w:val="00BC5202"/>
    <w:rsid w:val="00BF5752"/>
    <w:rsid w:val="00C44D57"/>
    <w:rsid w:val="00C53841"/>
    <w:rsid w:val="00C97999"/>
    <w:rsid w:val="00CA7F59"/>
    <w:rsid w:val="00CB21E3"/>
    <w:rsid w:val="00D35CAF"/>
    <w:rsid w:val="00D63677"/>
    <w:rsid w:val="00D83205"/>
    <w:rsid w:val="00D915F7"/>
    <w:rsid w:val="00DE3532"/>
    <w:rsid w:val="00E327A3"/>
    <w:rsid w:val="00E3524D"/>
    <w:rsid w:val="00F30C2B"/>
    <w:rsid w:val="00F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8C0B"/>
  <w15:docId w15:val="{F6F18F7F-CA54-4D87-804D-A6BF50BD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C143B"/>
    <w:rPr>
      <w:rFonts w:ascii="Tahoma" w:hAnsi="Tahoma" w:cs="Tahoma" w:hint="default"/>
      <w:strike w:val="0"/>
      <w:dstrike w:val="0"/>
      <w:color w:val="005082"/>
      <w:sz w:val="20"/>
      <w:szCs w:val="20"/>
      <w:u w:val="none"/>
      <w:effect w:val="none"/>
    </w:rPr>
  </w:style>
  <w:style w:type="paragraph" w:customStyle="1" w:styleId="pa4">
    <w:name w:val="pa4"/>
    <w:basedOn w:val="Navaden"/>
    <w:rsid w:val="009C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a5">
    <w:name w:val="pa5"/>
    <w:basedOn w:val="Navaden"/>
    <w:rsid w:val="009C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srs.si/Pis.web/pregledPredpisa?id=URED606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Matevž Cestnik</dc:creator>
  <cp:lastModifiedBy>Obcina</cp:lastModifiedBy>
  <cp:revision>2</cp:revision>
  <cp:lastPrinted>2023-12-15T07:03:00Z</cp:lastPrinted>
  <dcterms:created xsi:type="dcterms:W3CDTF">2024-11-26T13:19:00Z</dcterms:created>
  <dcterms:modified xsi:type="dcterms:W3CDTF">2024-11-26T13:19:00Z</dcterms:modified>
</cp:coreProperties>
</file>