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5CAF" w:rsidRPr="00D35CAF" w14:paraId="68F91741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EED3" w14:textId="09E1ABBD" w:rsidR="009C143B" w:rsidRDefault="009C143B" w:rsidP="009C143B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 podlagi 5. člena </w:t>
            </w:r>
            <w:hyperlink r:id="rId4" w:history="1">
              <w:r w:rsidRPr="00D35CAF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Uredbe o metodologiji za oblikovanje cen storitev obveznih občinskih javnih služb varstva okolja</w:t>
              </w:r>
            </w:hyperlink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(v nadaljevanju: Uredba, </w:t>
            </w:r>
            <w:proofErr w:type="spellStart"/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Ur.l</w:t>
            </w:r>
            <w:proofErr w:type="spellEnd"/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 RS št. 87/12 in 109/12) in 1</w:t>
            </w:r>
            <w:r w:rsidR="0020189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5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 člena Statuta Občine Gorišnica (Uradn</w:t>
            </w:r>
            <w:r w:rsidR="0020189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 glasilo slovenskih občin št. 57/2017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) je Občinski sv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et Občine Gorišnica na svoji</w:t>
            </w:r>
            <w:r w:rsidR="004D798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. redni seji, dne </w:t>
            </w:r>
            <w:r w:rsidR="004D798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_________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sprejel naslednji</w:t>
            </w:r>
          </w:p>
          <w:p w14:paraId="7ABABD32" w14:textId="1018FE50" w:rsidR="0069488D" w:rsidRPr="00D35CAF" w:rsidRDefault="0069488D" w:rsidP="009C14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4B83ED30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EA0" w14:textId="77777777" w:rsidR="009C143B" w:rsidRPr="00D35CAF" w:rsidRDefault="009C143B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SKLEP</w:t>
            </w:r>
          </w:p>
        </w:tc>
      </w:tr>
      <w:tr w:rsidR="00D35CAF" w:rsidRPr="00D35CAF" w14:paraId="6C3F641B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523" w14:textId="370980DC" w:rsidR="009C143B" w:rsidRDefault="00B42C78" w:rsidP="009C143B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o </w:t>
            </w:r>
            <w:r w:rsidR="009C143B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višini stroškov omrežnine izvajanja obvezne gospodarske javne službe odvajanja in čiščenja komunalnih in padavinskih</w:t>
            </w:r>
            <w:r w:rsidR="00C97999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voda </w:t>
            </w:r>
            <w:r w:rsidR="00BC52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in oskrbe s pitno vodo </w:t>
            </w:r>
            <w:r w:rsidR="00C97999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 območju občine Gorišnica</w:t>
            </w:r>
          </w:p>
          <w:p w14:paraId="02A15357" w14:textId="77777777" w:rsidR="00874C2A" w:rsidRDefault="00874C2A" w:rsidP="002655B2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F2F14D8" w14:textId="72994170" w:rsidR="00512ACA" w:rsidRPr="00D35CAF" w:rsidRDefault="00512ACA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598CDF4A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3E24" w14:textId="77777777" w:rsidR="009C143B" w:rsidRPr="00D35CAF" w:rsidRDefault="009C143B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1. člen</w:t>
            </w:r>
          </w:p>
        </w:tc>
      </w:tr>
      <w:tr w:rsidR="00D35CAF" w:rsidRPr="00D35CAF" w14:paraId="35E341E6" w14:textId="77777777" w:rsidTr="00161495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0F86" w14:textId="77777777" w:rsidR="009C143B" w:rsidRPr="00D35CAF" w:rsidRDefault="009C143B" w:rsidP="004912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1783C171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03C0" w14:textId="43B4848A" w:rsidR="000A30D6" w:rsidRDefault="009C143B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Občinski svet Občine Gorišnica sprejme mesečne tarife za obračun omrežnine za uporabo javne infrastrukture, ki se uporablja za izvajanje obvezne gospodarske javne službe odvajanja in čiščenja komunalne in padavinske vode </w:t>
            </w:r>
            <w:r w:rsidR="00BC520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in oskrbe s pitno vodo,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kot so navedene </w:t>
            </w:r>
            <w:r w:rsidR="000A30D6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tabel</w:t>
            </w:r>
            <w:r w:rsidR="00D63677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ah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v nadaljevanju in so bile določene skladno z Uredbo na podlagi vrednosti javne gospodarske infrastrukture v lasti občine Gorišnica</w:t>
            </w:r>
            <w:r w:rsidR="0099140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in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znašajo toliko kot </w:t>
            </w:r>
            <w:r w:rsidR="0049129C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je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navedeno v zadnjem stolpcu tabel v nadaljevanju.</w:t>
            </w:r>
          </w:p>
          <w:p w14:paraId="5AFF604F" w14:textId="77777777" w:rsidR="00BC5202" w:rsidRDefault="00BC5202" w:rsidP="000A30D6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tbl>
            <w:tblPr>
              <w:tblW w:w="4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1620"/>
              <w:gridCol w:w="1200"/>
            </w:tblGrid>
            <w:tr w:rsidR="004D798A" w:rsidRPr="004D798A" w14:paraId="32C9E1A6" w14:textId="77777777" w:rsidTr="004D798A">
              <w:trPr>
                <w:trHeight w:val="600"/>
              </w:trPr>
              <w:tc>
                <w:tcPr>
                  <w:tcW w:w="4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167DA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Omrežnina za oskrbo s pitno vodo 2025</w:t>
                  </w:r>
                </w:p>
              </w:tc>
            </w:tr>
            <w:tr w:rsidR="004D798A" w:rsidRPr="004D798A" w14:paraId="3BC35E33" w14:textId="77777777" w:rsidTr="004D798A">
              <w:trPr>
                <w:trHeight w:val="300"/>
              </w:trPr>
              <w:tc>
                <w:tcPr>
                  <w:tcW w:w="19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E273C7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 xml:space="preserve">Dimenzija vodomera 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03DEE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Faktor omrežnine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4CCD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€</w:t>
                  </w:r>
                </w:p>
              </w:tc>
            </w:tr>
            <w:tr w:rsidR="004D798A" w:rsidRPr="004D798A" w14:paraId="0606F8E8" w14:textId="77777777" w:rsidTr="004D798A">
              <w:trPr>
                <w:trHeight w:val="315"/>
              </w:trPr>
              <w:tc>
                <w:tcPr>
                  <w:tcW w:w="19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1019B4D" w14:textId="77777777" w:rsidR="004D798A" w:rsidRPr="004D798A" w:rsidRDefault="004D798A" w:rsidP="004D79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AFAB78" w14:textId="77777777" w:rsidR="004D798A" w:rsidRPr="004D798A" w:rsidRDefault="004D798A" w:rsidP="004D79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1F3E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(brez DDV)</w:t>
                  </w:r>
                </w:p>
              </w:tc>
            </w:tr>
            <w:tr w:rsidR="004D798A" w:rsidRPr="004D798A" w14:paraId="46AF3FB3" w14:textId="77777777" w:rsidTr="004D798A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8785DE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20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7683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60CA0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5,2228</w:t>
                  </w:r>
                </w:p>
              </w:tc>
            </w:tr>
            <w:tr w:rsidR="004D798A" w:rsidRPr="004D798A" w14:paraId="6743D40A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2B8D52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 &lt; DN &lt; 40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94DB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757E5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15,6684</w:t>
                  </w:r>
                </w:p>
              </w:tc>
            </w:tr>
            <w:tr w:rsidR="004D798A" w:rsidRPr="004D798A" w14:paraId="0FD3853C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2A7A65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40 ≤ DN &lt; 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64AB5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CEFAC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52,228</w:t>
                  </w:r>
                </w:p>
              </w:tc>
            </w:tr>
            <w:tr w:rsidR="004D798A" w:rsidRPr="004D798A" w14:paraId="2B64EBBA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AB09EA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 ≤ DN &lt; 65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83BE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F34AE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78,342</w:t>
                  </w:r>
                </w:p>
              </w:tc>
            </w:tr>
            <w:tr w:rsidR="004D798A" w:rsidRPr="004D798A" w14:paraId="358AB4AD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B4035A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65 ≤ DN &lt; 80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F18A2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4E0109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156,684</w:t>
                  </w:r>
                </w:p>
              </w:tc>
            </w:tr>
            <w:tr w:rsidR="004D798A" w:rsidRPr="004D798A" w14:paraId="6DD615E7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4214CF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80 ≤ DN &lt; 100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5195F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4B38FC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261,14</w:t>
                  </w:r>
                </w:p>
              </w:tc>
            </w:tr>
            <w:tr w:rsidR="004D798A" w:rsidRPr="004D798A" w14:paraId="35DC51C3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133095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 ≤ DN &lt; 150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3BB31A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52A04D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522,28</w:t>
                  </w:r>
                </w:p>
              </w:tc>
            </w:tr>
            <w:tr w:rsidR="004D798A" w:rsidRPr="004D798A" w14:paraId="682AD637" w14:textId="77777777" w:rsidTr="004D798A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397900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150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E3D762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CA9109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1.044,56</w:t>
                  </w:r>
                </w:p>
              </w:tc>
            </w:tr>
            <w:tr w:rsidR="004D798A" w:rsidRPr="004D798A" w14:paraId="2B88954B" w14:textId="77777777" w:rsidTr="004D798A">
              <w:trPr>
                <w:trHeight w:val="300"/>
              </w:trPr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68F4EA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</w:tr>
            <w:tr w:rsidR="004D798A" w:rsidRPr="004D798A" w14:paraId="32117CDA" w14:textId="77777777" w:rsidTr="004D798A">
              <w:trPr>
                <w:trHeight w:val="315"/>
              </w:trPr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2162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4D798A" w:rsidRPr="004D798A" w14:paraId="75F29697" w14:textId="77777777" w:rsidTr="004D798A">
              <w:trPr>
                <w:trHeight w:val="600"/>
              </w:trPr>
              <w:tc>
                <w:tcPr>
                  <w:tcW w:w="4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F7F46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Omrežnina za odvajanje odplak 2025</w:t>
                  </w:r>
                </w:p>
              </w:tc>
            </w:tr>
            <w:tr w:rsidR="004D798A" w:rsidRPr="004D798A" w14:paraId="271CC562" w14:textId="77777777" w:rsidTr="004D798A">
              <w:trPr>
                <w:trHeight w:val="300"/>
              </w:trPr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8809DA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 xml:space="preserve">Dimenzija vodomera 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EED8B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Faktor omrežnine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FCF3AA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€</w:t>
                  </w:r>
                </w:p>
              </w:tc>
            </w:tr>
            <w:tr w:rsidR="004D798A" w:rsidRPr="004D798A" w14:paraId="57DB14C9" w14:textId="77777777" w:rsidTr="004D798A">
              <w:trPr>
                <w:trHeight w:val="315"/>
              </w:trPr>
              <w:tc>
                <w:tcPr>
                  <w:tcW w:w="19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CD0790" w14:textId="77777777" w:rsidR="004D798A" w:rsidRPr="004D798A" w:rsidRDefault="004D798A" w:rsidP="004D79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5A7D34F" w14:textId="77777777" w:rsidR="004D798A" w:rsidRPr="004D798A" w:rsidRDefault="004D798A" w:rsidP="004D79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628026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(brez DDV)</w:t>
                  </w:r>
                </w:p>
              </w:tc>
            </w:tr>
            <w:tr w:rsidR="004D798A" w:rsidRPr="004D798A" w14:paraId="639ED692" w14:textId="77777777" w:rsidTr="004D798A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B93AD7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20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12F915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EA9690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8,2876</w:t>
                  </w:r>
                </w:p>
              </w:tc>
            </w:tr>
            <w:tr w:rsidR="004D798A" w:rsidRPr="004D798A" w14:paraId="31848145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9A8B16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 &lt; DN &lt; 40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D6A1FC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1115F7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24,8627</w:t>
                  </w:r>
                </w:p>
              </w:tc>
            </w:tr>
            <w:tr w:rsidR="004D798A" w:rsidRPr="004D798A" w14:paraId="164AAB2E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5FF40E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40 ≤ DN &lt; 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29B92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B70BC0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82,8756</w:t>
                  </w:r>
                </w:p>
              </w:tc>
            </w:tr>
            <w:tr w:rsidR="004D798A" w:rsidRPr="004D798A" w14:paraId="7C482F2A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5C2E0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lastRenderedPageBreak/>
                    <w:t>50 ≤ DN &lt; 65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61E9F0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585880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124,3134</w:t>
                  </w:r>
                </w:p>
              </w:tc>
            </w:tr>
            <w:tr w:rsidR="004D798A" w:rsidRPr="004D798A" w14:paraId="0A96AE1D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466A72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65 ≤ DN &lt; 80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6E91EC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E0E3F9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248,6267</w:t>
                  </w:r>
                </w:p>
              </w:tc>
            </w:tr>
            <w:tr w:rsidR="004D798A" w:rsidRPr="004D798A" w14:paraId="43BC0E40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A23C51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80 ≤ DN &lt; 100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F0C897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4C288A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414,3779</w:t>
                  </w:r>
                </w:p>
              </w:tc>
            </w:tr>
            <w:tr w:rsidR="004D798A" w:rsidRPr="004D798A" w14:paraId="52772E7F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7B781B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 ≤ DN &lt; 150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BB68E5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B3DECD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828,7558</w:t>
                  </w:r>
                </w:p>
              </w:tc>
            </w:tr>
            <w:tr w:rsidR="004D798A" w:rsidRPr="004D798A" w14:paraId="390342AC" w14:textId="77777777" w:rsidTr="004D798A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3F97AD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150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AAA403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62CA9A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</w:pPr>
                  <w:r w:rsidRPr="004D798A">
                    <w:rPr>
                      <w:rFonts w:ascii="Calibri" w:eastAsia="Times New Roman" w:hAnsi="Calibri" w:cs="Calibri"/>
                      <w:color w:val="000000"/>
                      <w:lang w:eastAsia="sl-SI"/>
                    </w:rPr>
                    <w:t>1.657,5116</w:t>
                  </w:r>
                </w:p>
              </w:tc>
            </w:tr>
            <w:tr w:rsidR="004D798A" w:rsidRPr="004D798A" w14:paraId="1D2A33D4" w14:textId="77777777" w:rsidTr="004D798A">
              <w:trPr>
                <w:trHeight w:val="315"/>
              </w:trPr>
              <w:tc>
                <w:tcPr>
                  <w:tcW w:w="47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219A53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</w:tr>
            <w:tr w:rsidR="004D798A" w:rsidRPr="004D798A" w14:paraId="2ECF1739" w14:textId="77777777" w:rsidTr="004D798A">
              <w:trPr>
                <w:trHeight w:val="600"/>
              </w:trPr>
              <w:tc>
                <w:tcPr>
                  <w:tcW w:w="4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2FF0A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Omrežnina za čiščenje odplak 2025</w:t>
                  </w:r>
                </w:p>
              </w:tc>
            </w:tr>
            <w:tr w:rsidR="004D798A" w:rsidRPr="004D798A" w14:paraId="00D17338" w14:textId="77777777" w:rsidTr="004D798A">
              <w:trPr>
                <w:trHeight w:val="300"/>
              </w:trPr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BAB175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 xml:space="preserve">Dimenzija vodomera 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36C7D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Faktor omrežnine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9D8A5A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Omrežnina €</w:t>
                  </w:r>
                </w:p>
              </w:tc>
            </w:tr>
            <w:tr w:rsidR="004D798A" w:rsidRPr="004D798A" w14:paraId="6B95C66E" w14:textId="77777777" w:rsidTr="004D798A">
              <w:trPr>
                <w:trHeight w:val="315"/>
              </w:trPr>
              <w:tc>
                <w:tcPr>
                  <w:tcW w:w="19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3DDA9F" w14:textId="77777777" w:rsidR="004D798A" w:rsidRPr="004D798A" w:rsidRDefault="004D798A" w:rsidP="004D79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5F8F735" w14:textId="77777777" w:rsidR="004D798A" w:rsidRPr="004D798A" w:rsidRDefault="004D798A" w:rsidP="004D798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306B6B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(brez DDV)</w:t>
                  </w:r>
                </w:p>
              </w:tc>
            </w:tr>
            <w:tr w:rsidR="004D798A" w:rsidRPr="004D798A" w14:paraId="6825F84A" w14:textId="77777777" w:rsidTr="004D798A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EA4CA4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20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8B11F6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3CD0DF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4,1903</w:t>
                  </w:r>
                </w:p>
              </w:tc>
            </w:tr>
            <w:tr w:rsidR="004D798A" w:rsidRPr="004D798A" w14:paraId="1748B836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323B3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 &lt; DN &lt; 40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6D4452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E2E3C5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12,5709</w:t>
                  </w:r>
                </w:p>
              </w:tc>
            </w:tr>
            <w:tr w:rsidR="004D798A" w:rsidRPr="004D798A" w14:paraId="42DC27E6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CFB992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40 ≤ DN &lt; 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0EFA9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B069EB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41,9029</w:t>
                  </w:r>
                </w:p>
              </w:tc>
            </w:tr>
            <w:tr w:rsidR="004D798A" w:rsidRPr="004D798A" w14:paraId="4FAB9B4E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F37FFE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 ≤ DN &lt; 65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81FA28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66A3ED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62,8544</w:t>
                  </w:r>
                </w:p>
              </w:tc>
            </w:tr>
            <w:tr w:rsidR="004D798A" w:rsidRPr="004D798A" w14:paraId="7DBCF912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1E1DF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65 ≤ DN &lt; 80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2D604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094587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125,7088</w:t>
                  </w:r>
                </w:p>
              </w:tc>
            </w:tr>
            <w:tr w:rsidR="004D798A" w:rsidRPr="004D798A" w14:paraId="4387138C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AC2E1C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80 ≤ DN &lt; 100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71CAB4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50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7A2FC3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209,5146</w:t>
                  </w:r>
                </w:p>
              </w:tc>
            </w:tr>
            <w:tr w:rsidR="004D798A" w:rsidRPr="004D798A" w14:paraId="3A877C75" w14:textId="77777777" w:rsidTr="004D798A">
              <w:trPr>
                <w:trHeight w:val="52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05B52E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 ≤ DN &lt; 150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047EF3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8716EE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419,0293</w:t>
                  </w:r>
                </w:p>
              </w:tc>
            </w:tr>
            <w:tr w:rsidR="004D798A" w:rsidRPr="004D798A" w14:paraId="1183EBBA" w14:textId="77777777" w:rsidTr="004D798A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BE5FBB" w14:textId="77777777" w:rsidR="004D798A" w:rsidRPr="004D798A" w:rsidRDefault="004D798A" w:rsidP="004D798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DN ≤ 150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6B70DB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200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D57F5D" w14:textId="77777777" w:rsidR="004D798A" w:rsidRPr="004D798A" w:rsidRDefault="004D798A" w:rsidP="004D798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</w:pPr>
                  <w:r w:rsidRPr="004D798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l-SI"/>
                    </w:rPr>
                    <w:t>838,0586</w:t>
                  </w:r>
                </w:p>
              </w:tc>
            </w:tr>
          </w:tbl>
          <w:p w14:paraId="6A63F390" w14:textId="72C09ABC" w:rsidR="00A055D7" w:rsidRPr="00D35CAF" w:rsidRDefault="00A055D7" w:rsidP="004D798A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4D798A" w:rsidRPr="00D35CAF" w14:paraId="789B4DFA" w14:textId="77777777" w:rsidTr="006128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E674" w14:textId="77777777" w:rsidR="004D798A" w:rsidRPr="00D35CAF" w:rsidRDefault="004D798A" w:rsidP="00612861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5589AA6F" w14:textId="03BB952A" w:rsidR="004D798A" w:rsidRDefault="004D798A" w:rsidP="0061286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. člen</w:t>
            </w:r>
          </w:p>
          <w:p w14:paraId="1D5C4A4E" w14:textId="77777777" w:rsidR="004D798A" w:rsidRPr="00D35CAF" w:rsidRDefault="004D798A" w:rsidP="0061286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4D798A" w:rsidRPr="00D35CAF" w14:paraId="31B11EB6" w14:textId="77777777" w:rsidTr="0061286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1FD9" w14:textId="77777777" w:rsidR="004D798A" w:rsidRDefault="004D798A" w:rsidP="004D798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790B6022" w14:textId="6853B59C" w:rsidR="004D798A" w:rsidRDefault="004D798A" w:rsidP="004D798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Z uveljavitvijo tega sklepa preneha veljati sklep št.</w:t>
            </w:r>
            <w:r>
              <w:t xml:space="preserve"> </w:t>
            </w:r>
            <w:r>
              <w:t xml:space="preserve">900-1/2022-12/6  </w:t>
            </w:r>
            <w:r>
              <w:t>z dne 19.12.2024.</w:t>
            </w:r>
            <w:r>
              <w:t xml:space="preserve">                           </w:t>
            </w: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</w:t>
            </w:r>
          </w:p>
          <w:p w14:paraId="44740358" w14:textId="77777777" w:rsidR="004D798A" w:rsidRPr="00D35CAF" w:rsidRDefault="004D798A" w:rsidP="004D79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0DAD8F25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BEFE" w14:textId="647489EC" w:rsidR="00E3524D" w:rsidRPr="00D35CAF" w:rsidRDefault="00E3524D" w:rsidP="00D83205">
            <w:pPr>
              <w:spacing w:before="100" w:beforeAutospacing="1"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713753DD" w14:textId="5A0095FA" w:rsidR="009C143B" w:rsidRDefault="004D798A" w:rsidP="009C143B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3</w:t>
            </w:r>
            <w:r w:rsidR="009C143B" w:rsidRPr="00D35C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. člen</w:t>
            </w:r>
          </w:p>
          <w:p w14:paraId="7809090F" w14:textId="3528970B" w:rsidR="00512ACA" w:rsidRPr="00D35CAF" w:rsidRDefault="00512ACA" w:rsidP="009C14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0FDA9125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5AC7" w14:textId="77777777" w:rsidR="004D798A" w:rsidRDefault="004D798A" w:rsidP="009C143B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56593A4F" w14:textId="1EB1C38A" w:rsidR="00161495" w:rsidRDefault="009C143B" w:rsidP="009C143B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Ta sklep začne veljati naslednji dan po objavi v Uradnem</w:t>
            </w:r>
            <w:r w:rsidR="00C97999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glasilu slovenskih občin</w:t>
            </w:r>
            <w:r w:rsidR="0014442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in </w:t>
            </w:r>
            <w:r w:rsidR="004D798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se začne uporabljati s 1.4.2025.</w:t>
            </w:r>
            <w:r w:rsidR="00161495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.</w:t>
            </w:r>
          </w:p>
          <w:p w14:paraId="381EC78F" w14:textId="77777777" w:rsidR="009C143B" w:rsidRPr="00D35CAF" w:rsidRDefault="009C143B" w:rsidP="0016149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2379D5E2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C980" w14:textId="77777777" w:rsidR="009C143B" w:rsidRDefault="009C143B" w:rsidP="009C143B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 </w:t>
            </w:r>
          </w:p>
          <w:p w14:paraId="4EFEE3E6" w14:textId="77777777" w:rsidR="004D798A" w:rsidRPr="00D35CAF" w:rsidRDefault="004D798A" w:rsidP="009C143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D35CAF" w:rsidRPr="00D35CAF" w14:paraId="1F42E97F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0516" w14:textId="7A203B79" w:rsidR="009C143B" w:rsidRPr="00D35CAF" w:rsidRDefault="009C143B" w:rsidP="00C979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Številka:</w:t>
            </w:r>
            <w:r w:rsidR="004D798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</w:t>
            </w:r>
            <w:r w:rsidR="00C53841">
              <w:t xml:space="preserve">                         </w:t>
            </w:r>
            <w:r w:rsidR="00F30C2B">
              <w:t xml:space="preserve">  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   </w:t>
            </w:r>
            <w:r w:rsidR="002107E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</w:t>
            </w:r>
            <w:r w:rsidR="001044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župan</w:t>
            </w:r>
          </w:p>
        </w:tc>
      </w:tr>
      <w:tr w:rsidR="00D35CAF" w:rsidRPr="00D35CAF" w14:paraId="7698FA92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7212" w14:textId="3EFF6F0A" w:rsidR="009C143B" w:rsidRPr="00D35CAF" w:rsidRDefault="00161495" w:rsidP="00C979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</w:t>
            </w:r>
            <w:r w:rsidR="0096469E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 Gorišnica,</w:t>
            </w:r>
            <w:r w:rsidR="006A3A5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  <w:r w:rsidR="00C538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</w:t>
            </w:r>
            <w:r w:rsidR="004D798A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</w:t>
            </w:r>
            <w:r w:rsidR="00C5384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</w:t>
            </w:r>
            <w:r w:rsidR="006571D1" w:rsidRPr="00D35CAF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</w:t>
            </w:r>
            <w:r w:rsidR="002107E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</w:t>
            </w:r>
            <w:r w:rsidR="00CA7F59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Borut Kolar</w:t>
            </w:r>
          </w:p>
        </w:tc>
      </w:tr>
      <w:tr w:rsidR="006571D1" w:rsidRPr="00D35CAF" w14:paraId="3899C610" w14:textId="77777777" w:rsidTr="000A30D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B1AA" w14:textId="77777777" w:rsidR="006571D1" w:rsidRPr="00D35CAF" w:rsidRDefault="006571D1" w:rsidP="00C97999">
            <w:pPr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7E501E96" w14:textId="77777777" w:rsidR="00C44D57" w:rsidRPr="00D35CAF" w:rsidRDefault="00C44D57"/>
    <w:sectPr w:rsidR="00C44D57" w:rsidRPr="00D3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3B"/>
    <w:rsid w:val="00086DCB"/>
    <w:rsid w:val="00092F87"/>
    <w:rsid w:val="000A30D6"/>
    <w:rsid w:val="001044A6"/>
    <w:rsid w:val="00144426"/>
    <w:rsid w:val="00161495"/>
    <w:rsid w:val="00173185"/>
    <w:rsid w:val="001B5255"/>
    <w:rsid w:val="00201895"/>
    <w:rsid w:val="002107E6"/>
    <w:rsid w:val="00222C83"/>
    <w:rsid w:val="002655B2"/>
    <w:rsid w:val="002C774F"/>
    <w:rsid w:val="002D0ED9"/>
    <w:rsid w:val="00355C02"/>
    <w:rsid w:val="003D1436"/>
    <w:rsid w:val="00422171"/>
    <w:rsid w:val="00426EE6"/>
    <w:rsid w:val="0049129C"/>
    <w:rsid w:val="004D798A"/>
    <w:rsid w:val="004E1E01"/>
    <w:rsid w:val="00512ACA"/>
    <w:rsid w:val="005A1721"/>
    <w:rsid w:val="005D328E"/>
    <w:rsid w:val="005F1F34"/>
    <w:rsid w:val="00607503"/>
    <w:rsid w:val="00647F6D"/>
    <w:rsid w:val="006571D1"/>
    <w:rsid w:val="00677BBC"/>
    <w:rsid w:val="0069488D"/>
    <w:rsid w:val="00695A22"/>
    <w:rsid w:val="006A3A53"/>
    <w:rsid w:val="00705362"/>
    <w:rsid w:val="00737FAC"/>
    <w:rsid w:val="007710AE"/>
    <w:rsid w:val="007B0AF5"/>
    <w:rsid w:val="00874C2A"/>
    <w:rsid w:val="00883B51"/>
    <w:rsid w:val="00916EB4"/>
    <w:rsid w:val="00950006"/>
    <w:rsid w:val="0096469E"/>
    <w:rsid w:val="0099140E"/>
    <w:rsid w:val="009C143B"/>
    <w:rsid w:val="00A055D7"/>
    <w:rsid w:val="00B03484"/>
    <w:rsid w:val="00B42C78"/>
    <w:rsid w:val="00B91296"/>
    <w:rsid w:val="00BC5202"/>
    <w:rsid w:val="00BF5752"/>
    <w:rsid w:val="00C44D57"/>
    <w:rsid w:val="00C53841"/>
    <w:rsid w:val="00C97999"/>
    <w:rsid w:val="00CA7F59"/>
    <w:rsid w:val="00CB21E3"/>
    <w:rsid w:val="00D35CAF"/>
    <w:rsid w:val="00D63677"/>
    <w:rsid w:val="00D83205"/>
    <w:rsid w:val="00D915F7"/>
    <w:rsid w:val="00DE3532"/>
    <w:rsid w:val="00E3524D"/>
    <w:rsid w:val="00F30C2B"/>
    <w:rsid w:val="00FA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8C0B"/>
  <w15:docId w15:val="{F6F18F7F-CA54-4D87-804D-A6BF50BD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143B"/>
    <w:rPr>
      <w:rFonts w:ascii="Tahoma" w:hAnsi="Tahoma" w:cs="Tahoma" w:hint="default"/>
      <w:strike w:val="0"/>
      <w:dstrike w:val="0"/>
      <w:color w:val="005082"/>
      <w:sz w:val="20"/>
      <w:szCs w:val="20"/>
      <w:u w:val="none"/>
      <w:effect w:val="none"/>
    </w:rPr>
  </w:style>
  <w:style w:type="paragraph" w:customStyle="1" w:styleId="pa4">
    <w:name w:val="pa4"/>
    <w:basedOn w:val="Navaden"/>
    <w:rsid w:val="009C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5">
    <w:name w:val="pa5"/>
    <w:basedOn w:val="Navaden"/>
    <w:rsid w:val="009C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srs.si/Pis.web/pregledPredpisa?id=URED606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Matevž Cestnik</dc:creator>
  <cp:lastModifiedBy>aleš zavec</cp:lastModifiedBy>
  <cp:revision>3</cp:revision>
  <cp:lastPrinted>2023-12-15T07:03:00Z</cp:lastPrinted>
  <dcterms:created xsi:type="dcterms:W3CDTF">2025-03-10T08:43:00Z</dcterms:created>
  <dcterms:modified xsi:type="dcterms:W3CDTF">2025-03-10T08:53:00Z</dcterms:modified>
</cp:coreProperties>
</file>